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21D3" w14:textId="77777777" w:rsidR="007001C9" w:rsidRDefault="00000000">
      <w:pPr>
        <w:spacing w:before="240" w:after="240" w:line="276" w:lineRule="auto"/>
        <w:rPr>
          <w:rFonts w:ascii="Arial" w:eastAsia="Arial" w:hAnsi="Arial" w:cs="Arial"/>
          <w:i/>
          <w:color w:val="000000" w:themeColor="text1"/>
          <w:sz w:val="24"/>
          <w:szCs w:val="24"/>
          <w:u w:val="single"/>
        </w:rPr>
      </w:pPr>
      <w:r>
        <w:rPr>
          <w:rFonts w:ascii="Arial" w:eastAsia="Arial" w:hAnsi="Arial" w:cs="Arial"/>
          <w:i/>
          <w:iCs/>
          <w:color w:val="000000" w:themeColor="text1"/>
          <w:sz w:val="24"/>
          <w:szCs w:val="24"/>
          <w:u w:val="single"/>
        </w:rPr>
        <w:t>Sous embargo jusqu’au 14 avril 2026</w:t>
      </w:r>
    </w:p>
    <w:p w14:paraId="03FFDD10" w14:textId="77777777" w:rsidR="007001C9" w:rsidRDefault="00000000">
      <w:pPr>
        <w:spacing w:before="240" w:after="240" w:line="276" w:lineRule="auto"/>
        <w:rPr>
          <w:rFonts w:ascii="Arial" w:eastAsia="Arial" w:hAnsi="Arial" w:cs="Arial"/>
          <w:b/>
          <w:bCs/>
          <w:color w:val="0080A0"/>
          <w:sz w:val="24"/>
          <w:szCs w:val="24"/>
        </w:rPr>
      </w:pPr>
      <w:commentRangeStart w:id="0"/>
      <w:commentRangeStart w:id="1"/>
      <w:commentRangeStart w:id="2"/>
      <w:r>
        <w:rPr>
          <w:rFonts w:ascii="Arial" w:eastAsia="Arial" w:hAnsi="Arial" w:cs="Arial"/>
          <w:b/>
          <w:color w:val="0080A0"/>
          <w:sz w:val="28"/>
          <w:szCs w:val="28"/>
        </w:rPr>
        <w:t>Baromètre CSRD 2026 : les entreprises du SBF 120 recentrent leurs priorités RSE, avec des avancées contrastées sur la transformation du modèle d’affaires</w:t>
      </w:r>
      <w:commentRangeEnd w:id="0"/>
      <w:r>
        <w:rPr>
          <w:rStyle w:val="Marquedecommentaire"/>
          <w:rFonts w:ascii="Arial" w:eastAsia="Arial" w:hAnsi="Arial" w:cs="Arial"/>
          <w:b/>
          <w:bCs/>
          <w:color w:val="0080A0"/>
          <w:sz w:val="24"/>
          <w:szCs w:val="24"/>
        </w:rPr>
        <w:commentReference w:id="0"/>
      </w:r>
      <w:commentRangeEnd w:id="1"/>
      <w:r>
        <w:rPr>
          <w:rStyle w:val="Marquedecommentaire"/>
          <w:rFonts w:ascii="Arial" w:eastAsia="Arial" w:hAnsi="Arial" w:cs="Arial"/>
          <w:b/>
          <w:bCs/>
          <w:color w:val="0080A0"/>
          <w:sz w:val="24"/>
          <w:szCs w:val="24"/>
        </w:rPr>
        <w:commentReference w:id="1"/>
      </w:r>
      <w:commentRangeEnd w:id="2"/>
      <w:r>
        <w:rPr>
          <w:rStyle w:val="Marquedecommentaire"/>
          <w:rFonts w:ascii="Arial" w:eastAsia="Arial" w:hAnsi="Arial" w:cs="Arial"/>
          <w:b/>
          <w:bCs/>
          <w:color w:val="0080A0"/>
          <w:sz w:val="24"/>
          <w:szCs w:val="24"/>
        </w:rPr>
        <w:commentReference w:id="2"/>
      </w:r>
    </w:p>
    <w:p w14:paraId="044ED50F" w14:textId="41B71025" w:rsidR="007001C9" w:rsidRDefault="00000000">
      <w:pPr>
        <w:shd w:val="clear" w:color="auto" w:fill="FFFFFF"/>
        <w:spacing w:after="0"/>
        <w:rPr>
          <w:rFonts w:ascii="Arial" w:eastAsia="Arial" w:hAnsi="Arial" w:cs="Arial"/>
          <w:sz w:val="22"/>
          <w:szCs w:val="22"/>
        </w:rPr>
      </w:pPr>
      <w:r>
        <w:rPr>
          <w:rFonts w:ascii="Arial" w:eastAsia="Arial" w:hAnsi="Arial" w:cs="Arial"/>
          <w:b/>
          <w:sz w:val="22"/>
          <w:szCs w:val="22"/>
        </w:rPr>
        <w:t xml:space="preserve">Paris, le </w:t>
      </w:r>
      <w:r w:rsidR="007E76F0">
        <w:rPr>
          <w:rFonts w:ascii="Arial" w:eastAsia="Arial" w:hAnsi="Arial" w:cs="Arial"/>
          <w:b/>
          <w:sz w:val="22"/>
          <w:szCs w:val="22"/>
        </w:rPr>
        <w:t>10</w:t>
      </w:r>
      <w:r>
        <w:rPr>
          <w:rFonts w:ascii="Arial" w:eastAsia="Arial" w:hAnsi="Arial" w:cs="Arial"/>
          <w:b/>
          <w:sz w:val="22"/>
          <w:szCs w:val="22"/>
        </w:rPr>
        <w:t xml:space="preserve"> avril 2026</w:t>
      </w:r>
      <w:r>
        <w:rPr>
          <w:rFonts w:ascii="Arial" w:eastAsia="Arial" w:hAnsi="Arial" w:cs="Arial"/>
          <w:sz w:val="22"/>
          <w:szCs w:val="22"/>
        </w:rPr>
        <w:t xml:space="preserve"> – BL évolution, cabinet de conseil en transition écologique et société à mission, publie son nouveau </w:t>
      </w:r>
      <w:r>
        <w:rPr>
          <w:rFonts w:ascii="Arial" w:eastAsia="Arial" w:hAnsi="Arial" w:cs="Arial"/>
          <w:sz w:val="22"/>
          <w:szCs w:val="22"/>
          <w:u w:val="single"/>
        </w:rPr>
        <w:t>Baromètre CSRD 2026</w:t>
      </w:r>
      <w:r>
        <w:rPr>
          <w:rFonts w:ascii="Arial" w:eastAsia="Arial" w:hAnsi="Arial" w:cs="Arial"/>
          <w:sz w:val="22"/>
          <w:szCs w:val="22"/>
        </w:rPr>
        <w:t xml:space="preserve">, fondé sur l’analyse de </w:t>
      </w:r>
      <w:r>
        <w:rPr>
          <w:rFonts w:ascii="Arial" w:eastAsia="Arial" w:hAnsi="Arial" w:cs="Arial"/>
          <w:sz w:val="22"/>
          <w:szCs w:val="22"/>
          <w:u w:val="single"/>
        </w:rPr>
        <w:t>100 rapports de durabilité</w:t>
      </w:r>
      <w:r>
        <w:rPr>
          <w:rFonts w:ascii="Arial" w:eastAsia="Arial" w:hAnsi="Arial" w:cs="Arial"/>
          <w:sz w:val="22"/>
          <w:szCs w:val="22"/>
        </w:rPr>
        <w:t xml:space="preserve"> d’entreprises du </w:t>
      </w:r>
      <w:r>
        <w:rPr>
          <w:rFonts w:ascii="Arial" w:eastAsia="Arial" w:hAnsi="Arial" w:cs="Arial"/>
          <w:sz w:val="22"/>
          <w:szCs w:val="22"/>
          <w:u w:val="single"/>
        </w:rPr>
        <w:t>SBF 120</w:t>
      </w:r>
      <w:r>
        <w:rPr>
          <w:rFonts w:ascii="Arial" w:eastAsia="Arial" w:hAnsi="Arial" w:cs="Arial"/>
          <w:sz w:val="22"/>
          <w:szCs w:val="22"/>
        </w:rPr>
        <w:t>. Après une année 2024 largement consacrée à la préparation du premier reporting conforme à la CSRD, l’année 2025 a constitué, pour une majorité d’entre elles, une phase d’approfondissement plus concrète de leurs priorités RSE et de travail sur la transformation de leur business model.</w:t>
      </w:r>
    </w:p>
    <w:p w14:paraId="35B531BF" w14:textId="77777777" w:rsidR="007001C9" w:rsidRDefault="007001C9">
      <w:pPr>
        <w:shd w:val="clear" w:color="auto" w:fill="FFFFFF"/>
        <w:spacing w:after="0"/>
        <w:rPr>
          <w:rFonts w:ascii="Arial" w:eastAsia="Arial" w:hAnsi="Arial" w:cs="Arial"/>
          <w:sz w:val="22"/>
          <w:szCs w:val="22"/>
        </w:rPr>
      </w:pPr>
    </w:p>
    <w:p w14:paraId="27C6A5C5" w14:textId="77777777" w:rsidR="007001C9" w:rsidRDefault="00000000">
      <w:pPr>
        <w:shd w:val="clear" w:color="auto" w:fill="FFFFFF"/>
        <w:spacing w:after="0"/>
        <w:rPr>
          <w:rFonts w:ascii="Arial" w:eastAsia="Arial" w:hAnsi="Arial" w:cs="Arial"/>
          <w:sz w:val="22"/>
          <w:szCs w:val="22"/>
        </w:rPr>
      </w:pPr>
      <w:r>
        <w:rPr>
          <w:rFonts w:ascii="Arial" w:eastAsia="Arial" w:hAnsi="Arial" w:cs="Arial"/>
          <w:sz w:val="22"/>
          <w:szCs w:val="22"/>
        </w:rPr>
        <w:t>Cette 3e édition du baromètre permet de mesurer comment les entreprises ont fait évoluer leur lecture des enjeux matériels, leurs plans de transition et leur niveau d’intégration de la RSE dans la stratégie.</w:t>
      </w:r>
    </w:p>
    <w:p w14:paraId="5D4DB709" w14:textId="77777777" w:rsidR="007001C9" w:rsidRDefault="007001C9">
      <w:pPr>
        <w:shd w:val="clear" w:color="auto" w:fill="FFFFFF"/>
        <w:spacing w:after="0"/>
        <w:rPr>
          <w:rFonts w:ascii="Arial" w:eastAsia="Arial" w:hAnsi="Arial" w:cs="Arial"/>
          <w:sz w:val="22"/>
          <w:szCs w:val="22"/>
        </w:rPr>
      </w:pPr>
    </w:p>
    <w:p w14:paraId="08B97831" w14:textId="77777777" w:rsidR="007001C9" w:rsidRDefault="00000000">
      <w:pPr>
        <w:rPr>
          <w:rFonts w:ascii="Arial" w:eastAsia="Arial" w:hAnsi="Arial" w:cs="Arial"/>
          <w:bCs/>
          <w:i/>
          <w:sz w:val="22"/>
          <w:szCs w:val="22"/>
        </w:rPr>
      </w:pPr>
      <w:r>
        <w:rPr>
          <w:rFonts w:ascii="Arial" w:eastAsia="Arial" w:hAnsi="Arial" w:cs="Arial"/>
          <w:i/>
          <w:iCs/>
          <w:sz w:val="22"/>
          <w:szCs w:val="22"/>
        </w:rPr>
        <w:t>« Notre baromètre CSRD montre que les entreprises ont acquis un bon niveau de maturité sur la formalisation d’un certain nombre d’aspects à l’image des plans de transition climat. En revanche,  les rapports ne mettent pas en avant comment le modèle d’affaires se transforme pour assurer sa durabilité et restent mutiques sur le volet « opportunités ». Les risques émergents sur la chaîne de valeur comme l’eau et la biodiversité restent encore marginalement pris en compte. »</w:t>
      </w:r>
      <w:r>
        <w:rPr>
          <w:rFonts w:ascii="Arial" w:eastAsia="Arial" w:hAnsi="Arial" w:cs="Arial"/>
          <w:i/>
          <w:sz w:val="22"/>
          <w:szCs w:val="22"/>
        </w:rPr>
        <w:t>,</w:t>
      </w:r>
      <w:r>
        <w:rPr>
          <w:rFonts w:ascii="Arial" w:eastAsia="Arial" w:hAnsi="Arial" w:cs="Arial"/>
          <w:sz w:val="22"/>
          <w:szCs w:val="22"/>
        </w:rPr>
        <w:t xml:space="preserve"> explique </w:t>
      </w:r>
      <w:r>
        <w:rPr>
          <w:rFonts w:ascii="Arial" w:eastAsia="Arial" w:hAnsi="Arial" w:cs="Arial"/>
          <w:b/>
          <w:sz w:val="22"/>
          <w:szCs w:val="22"/>
        </w:rPr>
        <w:t>Sylvain BOUCHERAND</w:t>
      </w:r>
      <w:r>
        <w:rPr>
          <w:rFonts w:ascii="Arial" w:eastAsia="Arial" w:hAnsi="Arial" w:cs="Arial"/>
          <w:sz w:val="22"/>
          <w:szCs w:val="22"/>
        </w:rPr>
        <w:t>, CEO de BL évolution.</w:t>
      </w:r>
    </w:p>
    <w:p w14:paraId="5F505BCA" w14:textId="77777777" w:rsidR="007001C9" w:rsidRDefault="007001C9">
      <w:pPr>
        <w:rPr>
          <w:rFonts w:ascii="Arial" w:eastAsia="Arial" w:hAnsi="Arial" w:cs="Arial"/>
          <w:b/>
          <w:sz w:val="22"/>
          <w:szCs w:val="22"/>
        </w:rPr>
      </w:pPr>
    </w:p>
    <w:p w14:paraId="28DE4F31" w14:textId="77777777" w:rsidR="007001C9" w:rsidRDefault="00000000">
      <w:pPr>
        <w:rPr>
          <w:rFonts w:ascii="Arial" w:eastAsia="Arial" w:hAnsi="Arial" w:cs="Arial"/>
          <w:b/>
          <w:bCs/>
          <w:color w:val="0080A0"/>
          <w:sz w:val="24"/>
          <w:szCs w:val="24"/>
        </w:rPr>
      </w:pPr>
      <w:r>
        <w:rPr>
          <w:rFonts w:ascii="Arial" w:eastAsia="Arial" w:hAnsi="Arial" w:cs="Arial"/>
          <w:b/>
          <w:color w:val="0080A0"/>
          <w:sz w:val="24"/>
          <w:szCs w:val="24"/>
        </w:rPr>
        <w:t>Des priorités RSE toujours très centrées sur le climat, le social interne et une partie de la gouvernance</w:t>
      </w:r>
    </w:p>
    <w:p w14:paraId="29DABEB0" w14:textId="77777777" w:rsidR="007001C9" w:rsidRDefault="00000000">
      <w:pPr>
        <w:rPr>
          <w:rFonts w:ascii="Arial" w:eastAsia="Arial" w:hAnsi="Arial" w:cs="Arial"/>
          <w:sz w:val="22"/>
          <w:szCs w:val="22"/>
        </w:rPr>
      </w:pPr>
      <w:r>
        <w:rPr>
          <w:rFonts w:ascii="Arial" w:eastAsia="Arial" w:hAnsi="Arial" w:cs="Arial"/>
          <w:sz w:val="22"/>
          <w:szCs w:val="22"/>
        </w:rPr>
        <w:t xml:space="preserve">En 2025, </w:t>
      </w:r>
      <w:r>
        <w:rPr>
          <w:rFonts w:ascii="Arial" w:eastAsia="Arial" w:hAnsi="Arial" w:cs="Arial"/>
          <w:sz w:val="22"/>
          <w:szCs w:val="22"/>
          <w:u w:val="single"/>
        </w:rPr>
        <w:t>l’ESRS E1 – Changement climatique</w:t>
      </w:r>
      <w:r>
        <w:rPr>
          <w:rFonts w:ascii="Arial" w:eastAsia="Arial" w:hAnsi="Arial" w:cs="Arial"/>
          <w:sz w:val="22"/>
          <w:szCs w:val="22"/>
        </w:rPr>
        <w:t xml:space="preserve"> et </w:t>
      </w:r>
      <w:r>
        <w:rPr>
          <w:rFonts w:ascii="Arial" w:eastAsia="Arial" w:hAnsi="Arial" w:cs="Arial"/>
          <w:sz w:val="22"/>
          <w:szCs w:val="22"/>
          <w:u w:val="single"/>
        </w:rPr>
        <w:t>l’ESRS S1 – Effectifs propres</w:t>
      </w:r>
      <w:r>
        <w:rPr>
          <w:rFonts w:ascii="Arial" w:eastAsia="Arial" w:hAnsi="Arial" w:cs="Arial"/>
          <w:sz w:val="22"/>
          <w:szCs w:val="22"/>
        </w:rPr>
        <w:t xml:space="preserve"> demeurent matériels pour 100 % des entreprises du SBF 1</w:t>
      </w:r>
      <w:r>
        <w:rPr>
          <w:rFonts w:ascii="Arial" w:eastAsia="Arial" w:hAnsi="Arial" w:cs="Arial"/>
          <w:color w:val="000000" w:themeColor="text1"/>
          <w:sz w:val="22"/>
          <w:szCs w:val="22"/>
        </w:rPr>
        <w:t>20, pour la deuxième année consécutive</w:t>
      </w:r>
      <w:r>
        <w:rPr>
          <w:rFonts w:ascii="Arial" w:eastAsia="Arial" w:hAnsi="Arial" w:cs="Arial"/>
          <w:sz w:val="22"/>
          <w:szCs w:val="22"/>
        </w:rPr>
        <w:t xml:space="preserve">. Ils sont suivis par </w:t>
      </w:r>
      <w:r>
        <w:rPr>
          <w:rFonts w:ascii="Arial" w:eastAsia="Arial" w:hAnsi="Arial" w:cs="Arial"/>
          <w:sz w:val="22"/>
          <w:szCs w:val="22"/>
          <w:u w:val="single"/>
        </w:rPr>
        <w:t>l’ESRS G1 – Conduite des affaires</w:t>
      </w:r>
      <w:r>
        <w:rPr>
          <w:rFonts w:ascii="Arial" w:eastAsia="Arial" w:hAnsi="Arial" w:cs="Arial"/>
          <w:sz w:val="22"/>
          <w:szCs w:val="22"/>
        </w:rPr>
        <w:t>, identifié comme matériel par 98 % des entreprises, en légère baisse par rapport à 2024.</w:t>
      </w:r>
    </w:p>
    <w:p w14:paraId="7EE439B1" w14:textId="77777777" w:rsidR="007001C9" w:rsidRDefault="00000000">
      <w:pPr>
        <w:rPr>
          <w:rFonts w:ascii="Arial" w:eastAsia="Arial" w:hAnsi="Arial" w:cs="Arial"/>
          <w:sz w:val="22"/>
          <w:szCs w:val="22"/>
        </w:rPr>
      </w:pPr>
      <w:r>
        <w:rPr>
          <w:rFonts w:ascii="Arial" w:eastAsia="Arial" w:hAnsi="Arial" w:cs="Arial"/>
          <w:sz w:val="22"/>
          <w:szCs w:val="22"/>
        </w:rPr>
        <w:t xml:space="preserve">Plus de </w:t>
      </w:r>
      <w:r>
        <w:rPr>
          <w:rFonts w:ascii="Arial" w:eastAsia="Arial" w:hAnsi="Arial" w:cs="Arial"/>
          <w:sz w:val="22"/>
          <w:szCs w:val="22"/>
          <w:u w:val="single"/>
        </w:rPr>
        <w:t>50 %</w:t>
      </w:r>
      <w:r>
        <w:rPr>
          <w:rFonts w:ascii="Arial" w:eastAsia="Arial" w:hAnsi="Arial" w:cs="Arial"/>
          <w:sz w:val="22"/>
          <w:szCs w:val="22"/>
        </w:rPr>
        <w:t xml:space="preserve"> des entreprises ont par ailleurs mis à jour leur analyse de </w:t>
      </w:r>
      <w:r>
        <w:rPr>
          <w:rFonts w:ascii="Arial" w:eastAsia="Arial" w:hAnsi="Arial" w:cs="Arial"/>
          <w:sz w:val="22"/>
          <w:szCs w:val="22"/>
          <w:u w:val="single"/>
        </w:rPr>
        <w:t>double matérialité</w:t>
      </w:r>
      <w:r>
        <w:rPr>
          <w:rFonts w:ascii="Arial" w:eastAsia="Arial" w:hAnsi="Arial" w:cs="Arial"/>
          <w:sz w:val="22"/>
          <w:szCs w:val="22"/>
        </w:rPr>
        <w:t>. Cette évolution se traduit par un recentrage sur certains enjeux, avec parfois une réduction du nombre d’ESRS considérés comme matériels afin de mieux hiérarchiser leurs priorités et concentrer leurs efforts sur les sujets les plus significatifs.</w:t>
      </w:r>
    </w:p>
    <w:p w14:paraId="70180E90" w14:textId="77777777" w:rsidR="007001C9" w:rsidRDefault="00000000">
      <w:pPr>
        <w:rPr>
          <w:rFonts w:ascii="Arial" w:eastAsia="Arial" w:hAnsi="Arial" w:cs="Arial"/>
          <w:sz w:val="22"/>
          <w:szCs w:val="22"/>
        </w:rPr>
      </w:pPr>
      <w:r>
        <w:rPr>
          <w:rFonts w:ascii="Arial" w:eastAsia="Arial" w:hAnsi="Arial" w:cs="Arial"/>
          <w:sz w:val="22"/>
          <w:szCs w:val="22"/>
        </w:rPr>
        <w:t xml:space="preserve">En moyenne, </w:t>
      </w:r>
      <w:r>
        <w:rPr>
          <w:rFonts w:ascii="Arial" w:eastAsia="Arial" w:hAnsi="Arial" w:cs="Arial"/>
          <w:sz w:val="22"/>
          <w:szCs w:val="22"/>
          <w:u w:val="single"/>
        </w:rPr>
        <w:t>7 ESRS sont considérés comme matériels</w:t>
      </w:r>
      <w:r>
        <w:rPr>
          <w:rFonts w:ascii="Arial" w:eastAsia="Arial" w:hAnsi="Arial" w:cs="Arial"/>
          <w:sz w:val="22"/>
          <w:szCs w:val="22"/>
        </w:rPr>
        <w:t xml:space="preserve"> par entreprise, un niveau stable par rapport à 2024. Des écarts sectoriels demeurent : l’agroalimentaire reste le secteur où la matérialité est la plus large avec 9 ESRS matériels en moyenne, tandis que la finance-assurance se situe à 4 ESRS. </w:t>
      </w:r>
      <w:commentRangeStart w:id="3"/>
      <w:commentRangeEnd w:id="3"/>
      <w:r>
        <w:rPr>
          <w:rStyle w:val="Marquedecommentaire"/>
          <w:rFonts w:ascii="Arial" w:eastAsia="Arial" w:hAnsi="Arial" w:cs="Arial"/>
          <w:sz w:val="22"/>
          <w:szCs w:val="22"/>
        </w:rPr>
        <w:commentReference w:id="3"/>
      </w:r>
    </w:p>
    <w:p w14:paraId="16F3EC86" w14:textId="77777777" w:rsidR="007001C9" w:rsidRDefault="007001C9">
      <w:pPr>
        <w:rPr>
          <w:rFonts w:ascii="Arial" w:eastAsia="Arial" w:hAnsi="Arial" w:cs="Arial"/>
          <w:b/>
          <w:color w:val="0080A0"/>
          <w:sz w:val="22"/>
          <w:szCs w:val="22"/>
        </w:rPr>
      </w:pPr>
    </w:p>
    <w:p w14:paraId="26C58402" w14:textId="77777777" w:rsidR="007001C9" w:rsidRDefault="00000000">
      <w:pPr>
        <w:rPr>
          <w:rFonts w:ascii="Arial" w:eastAsia="Arial" w:hAnsi="Arial" w:cs="Arial"/>
          <w:sz w:val="24"/>
          <w:szCs w:val="24"/>
        </w:rPr>
      </w:pPr>
      <w:r>
        <w:rPr>
          <w:rFonts w:ascii="Arial" w:eastAsia="Arial" w:hAnsi="Arial" w:cs="Arial"/>
          <w:b/>
          <w:color w:val="0080A0"/>
          <w:sz w:val="24"/>
          <w:szCs w:val="24"/>
        </w:rPr>
        <w:t>Le climat reste la priorité, mais la transformation du modèle d’affaires demeure partielle</w:t>
      </w:r>
    </w:p>
    <w:p w14:paraId="02660477" w14:textId="77777777" w:rsidR="007001C9" w:rsidRDefault="00000000">
      <w:pPr>
        <w:spacing w:after="0"/>
        <w:rPr>
          <w:rFonts w:ascii="Arial" w:eastAsia="Arial" w:hAnsi="Arial" w:cs="Arial"/>
          <w:sz w:val="22"/>
          <w:szCs w:val="22"/>
        </w:rPr>
      </w:pPr>
      <w:r>
        <w:rPr>
          <w:rFonts w:ascii="Arial" w:eastAsia="Arial" w:hAnsi="Arial" w:cs="Arial"/>
          <w:sz w:val="22"/>
          <w:szCs w:val="22"/>
        </w:rPr>
        <w:t xml:space="preserve">Le climat reste le sujet affiché comme le plus prioritaire pour les entreprises. Au-delà de la formalisation des cadres de reporting, les entreprises cherchent désormais à déployer plus concrètement leurs plans de transition, à renforcer leur trajectoire de décarbonation, à mieux articuler leurs enjeux climatiques avec la stratégie opérationnelle et à traiter les dimensions les plus complexes, notamment le </w:t>
      </w:r>
      <w:r>
        <w:rPr>
          <w:rFonts w:ascii="Arial" w:eastAsia="Arial" w:hAnsi="Arial" w:cs="Arial"/>
          <w:sz w:val="22"/>
          <w:szCs w:val="22"/>
          <w:u w:val="single"/>
        </w:rPr>
        <w:t>scope 3</w:t>
      </w:r>
      <w:r>
        <w:rPr>
          <w:rFonts w:ascii="Arial" w:eastAsia="Arial" w:hAnsi="Arial" w:cs="Arial"/>
          <w:sz w:val="22"/>
          <w:szCs w:val="22"/>
        </w:rPr>
        <w:t xml:space="preserve">. </w:t>
      </w:r>
      <w:r>
        <w:rPr>
          <w:rFonts w:ascii="Arial" w:eastAsia="Arial" w:hAnsi="Arial" w:cs="Arial"/>
          <w:color w:val="000000" w:themeColor="text1"/>
          <w:sz w:val="22"/>
          <w:szCs w:val="22"/>
        </w:rPr>
        <w:t>Ainsi, 69% des entreprises ont des objectifs climat validés SBTi en 2025, en net progrès par rapport aux 45% de 2024.</w:t>
      </w:r>
      <w:commentRangeStart w:id="4"/>
      <w:commentRangeEnd w:id="4"/>
      <w:r>
        <w:rPr>
          <w:rStyle w:val="Marquedecommentaire"/>
          <w:rFonts w:ascii="Arial" w:eastAsia="Arial" w:hAnsi="Arial" w:cs="Arial"/>
          <w:sz w:val="22"/>
          <w:szCs w:val="22"/>
        </w:rPr>
        <w:commentReference w:id="4"/>
      </w:r>
    </w:p>
    <w:p w14:paraId="68966A2D" w14:textId="77777777" w:rsidR="007001C9" w:rsidRDefault="007001C9">
      <w:pPr>
        <w:spacing w:after="0"/>
        <w:rPr>
          <w:rFonts w:ascii="Arial" w:eastAsia="Arial" w:hAnsi="Arial" w:cs="Arial"/>
          <w:sz w:val="22"/>
          <w:szCs w:val="22"/>
        </w:rPr>
      </w:pPr>
    </w:p>
    <w:p w14:paraId="10E58F5C" w14:textId="77777777" w:rsidR="007001C9" w:rsidRDefault="00000000">
      <w:pPr>
        <w:spacing w:after="0"/>
        <w:rPr>
          <w:rFonts w:ascii="Arial" w:eastAsia="Arial" w:hAnsi="Arial" w:cs="Arial"/>
          <w:sz w:val="22"/>
          <w:szCs w:val="22"/>
        </w:rPr>
      </w:pPr>
      <w:r>
        <w:rPr>
          <w:rFonts w:ascii="Arial" w:eastAsia="Arial" w:hAnsi="Arial" w:cs="Arial"/>
          <w:sz w:val="22"/>
          <w:szCs w:val="22"/>
        </w:rPr>
        <w:t xml:space="preserve">Plusieurs entreprises soulignent également l’importance croissante de la transformation des offres et de leur modèle d’affaires. Toutefois, peu d’entre elles traduisent encore pleinement cette ambition </w:t>
      </w:r>
      <w:r>
        <w:rPr>
          <w:rFonts w:ascii="Arial" w:eastAsia="Arial" w:hAnsi="Arial" w:cs="Arial"/>
          <w:sz w:val="22"/>
          <w:szCs w:val="22"/>
        </w:rPr>
        <w:lastRenderedPageBreak/>
        <w:t xml:space="preserve">dans leur rapport de durabilité. Lorsqu’elle existe, la transformation porte le plus souvent sur </w:t>
      </w:r>
      <w:r>
        <w:rPr>
          <w:rFonts w:ascii="Arial" w:eastAsia="Arial" w:hAnsi="Arial" w:cs="Arial"/>
          <w:sz w:val="22"/>
          <w:szCs w:val="22"/>
          <w:u w:val="single"/>
        </w:rPr>
        <w:t>l’évolution d’offres existantes</w:t>
      </w:r>
      <w:r>
        <w:rPr>
          <w:rFonts w:ascii="Arial" w:eastAsia="Arial" w:hAnsi="Arial" w:cs="Arial"/>
          <w:sz w:val="22"/>
          <w:szCs w:val="22"/>
        </w:rPr>
        <w:t>,</w:t>
      </w:r>
      <w:r>
        <w:rPr>
          <w:rFonts w:ascii="Arial" w:eastAsia="Arial" w:hAnsi="Arial" w:cs="Arial"/>
          <w:color w:val="000000" w:themeColor="text1"/>
          <w:sz w:val="22"/>
          <w:szCs w:val="22"/>
        </w:rPr>
        <w:t xml:space="preserve"> par l’intégration d’une notion de durabilité (modèles partiellement circulaires, intégration de la mobilité durable, etc.), plut</w:t>
      </w:r>
      <w:r>
        <w:rPr>
          <w:rFonts w:ascii="Arial" w:eastAsia="Arial" w:hAnsi="Arial" w:cs="Arial"/>
          <w:sz w:val="22"/>
          <w:szCs w:val="22"/>
        </w:rPr>
        <w:t>ôt que sur l’émergence d’offres soutenables de rupture.</w:t>
      </w:r>
    </w:p>
    <w:p w14:paraId="1DFB389E" w14:textId="77777777" w:rsidR="007001C9" w:rsidRDefault="007001C9">
      <w:pPr>
        <w:spacing w:after="0"/>
        <w:rPr>
          <w:rFonts w:ascii="Arial" w:eastAsia="Arial" w:hAnsi="Arial" w:cs="Arial"/>
          <w:sz w:val="22"/>
          <w:szCs w:val="22"/>
        </w:rPr>
      </w:pPr>
    </w:p>
    <w:p w14:paraId="4A426280" w14:textId="77777777" w:rsidR="007001C9" w:rsidRDefault="007001C9">
      <w:pPr>
        <w:rPr>
          <w:rFonts w:ascii="Arial" w:eastAsia="Arial" w:hAnsi="Arial" w:cs="Arial"/>
          <w:sz w:val="24"/>
          <w:szCs w:val="24"/>
        </w:rPr>
      </w:pPr>
    </w:p>
    <w:p w14:paraId="26793B8E" w14:textId="77777777" w:rsidR="007001C9" w:rsidRDefault="00000000">
      <w:pPr>
        <w:rPr>
          <w:rFonts w:ascii="Arial" w:eastAsia="Arial" w:hAnsi="Arial" w:cs="Arial"/>
          <w:b/>
          <w:bCs/>
          <w:color w:val="0080A0"/>
          <w:sz w:val="24"/>
          <w:szCs w:val="24"/>
        </w:rPr>
      </w:pPr>
      <w:r>
        <w:rPr>
          <w:rFonts w:ascii="Arial" w:eastAsia="Arial" w:hAnsi="Arial" w:cs="Arial"/>
          <w:b/>
          <w:color w:val="0080A0"/>
          <w:sz w:val="24"/>
          <w:szCs w:val="24"/>
        </w:rPr>
        <w:t>Biodiversité, eau, taxonomie : des progrès réels mais insuffisants</w:t>
      </w:r>
    </w:p>
    <w:p w14:paraId="5F6E8E6E" w14:textId="77777777" w:rsidR="007001C9" w:rsidRDefault="00000000">
      <w:pPr>
        <w:pBdr>
          <w:top w:val="none" w:sz="4" w:space="0" w:color="000000"/>
          <w:left w:val="none" w:sz="4" w:space="0" w:color="000000"/>
          <w:bottom w:val="none" w:sz="4" w:space="0" w:color="000000"/>
          <w:right w:val="none" w:sz="4" w:space="0" w:color="000000"/>
        </w:pBdr>
        <w:rPr>
          <w:rFonts w:ascii="Arial" w:eastAsia="Arial" w:hAnsi="Arial" w:cs="Arial"/>
          <w:sz w:val="22"/>
          <w:szCs w:val="22"/>
        </w:rPr>
      </w:pPr>
      <w:r>
        <w:rPr>
          <w:rFonts w:ascii="Arial" w:eastAsia="Arial" w:hAnsi="Arial" w:cs="Arial"/>
          <w:sz w:val="22"/>
          <w:szCs w:val="22"/>
          <w:u w:val="single"/>
        </w:rPr>
        <w:t>Moins de la moitié des entreprises</w:t>
      </w:r>
      <w:r>
        <w:rPr>
          <w:rFonts w:ascii="Arial" w:eastAsia="Arial" w:hAnsi="Arial" w:cs="Arial"/>
          <w:sz w:val="22"/>
          <w:szCs w:val="22"/>
        </w:rPr>
        <w:t xml:space="preserve"> considèrent </w:t>
      </w:r>
      <w:r>
        <w:rPr>
          <w:rFonts w:ascii="Arial" w:eastAsia="Arial" w:hAnsi="Arial" w:cs="Arial"/>
          <w:sz w:val="22"/>
          <w:szCs w:val="22"/>
          <w:u w:val="single"/>
        </w:rPr>
        <w:t>l’ESRS E4 – Biodiversité</w:t>
      </w:r>
      <w:r>
        <w:rPr>
          <w:rFonts w:ascii="Arial" w:eastAsia="Arial" w:hAnsi="Arial" w:cs="Arial"/>
          <w:sz w:val="22"/>
          <w:szCs w:val="22"/>
        </w:rPr>
        <w:t xml:space="preserve"> comme matériel, alors même que la majorité des secteurs du SBF 120 entretiennent des liens directs ou indirects avec la nature </w:t>
      </w:r>
      <w:r>
        <w:rPr>
          <w:rFonts w:ascii="Arial" w:eastAsia="Arial" w:hAnsi="Arial" w:cs="Arial"/>
          <w:color w:val="000000" w:themeColor="text1"/>
          <w:sz w:val="22"/>
          <w:szCs w:val="22"/>
        </w:rPr>
        <w:t>dans leur chaîne de valeur. Les entreprises qui le jugent matériel ont, pour la plupart, réalisé et communiqué une analyse d</w:t>
      </w:r>
      <w:r>
        <w:rPr>
          <w:rFonts w:ascii="Arial" w:eastAsia="Arial" w:hAnsi="Arial" w:cs="Arial"/>
          <w:sz w:val="22"/>
          <w:szCs w:val="22"/>
        </w:rPr>
        <w:t>e leurs impacts et dépendances, à travers des méthodologies récentes. En revanche, la formalisation de leur plan de transition biodiversité</w:t>
      </w:r>
      <w:r>
        <w:rPr>
          <w:rFonts w:ascii="Arial" w:eastAsia="Arial" w:hAnsi="Arial" w:cs="Arial"/>
          <w:color w:val="000000" w:themeColor="text1"/>
          <w:sz w:val="22"/>
          <w:szCs w:val="22"/>
        </w:rPr>
        <w:t xml:space="preserve">, de leurs risques biodiversité, d’objectifs SMART et le changement des pratiques au travers de leur chaîne de valeur ou au sein de leur secteur restent </w:t>
      </w:r>
      <w:r>
        <w:rPr>
          <w:rFonts w:ascii="Arial" w:eastAsia="Arial" w:hAnsi="Arial" w:cs="Arial"/>
          <w:sz w:val="22"/>
          <w:szCs w:val="22"/>
        </w:rPr>
        <w:t>à renforcer.</w:t>
      </w:r>
    </w:p>
    <w:p w14:paraId="49CE6873" w14:textId="77777777" w:rsidR="007001C9" w:rsidRDefault="00000000">
      <w:pPr>
        <w:pBdr>
          <w:top w:val="none" w:sz="4" w:space="0" w:color="000000"/>
          <w:left w:val="none" w:sz="4" w:space="0" w:color="000000"/>
          <w:bottom w:val="none" w:sz="4" w:space="0" w:color="000000"/>
          <w:right w:val="none" w:sz="4" w:space="0" w:color="000000"/>
        </w:pBdr>
        <w:rPr>
          <w:rFonts w:ascii="Arial" w:eastAsia="Arial" w:hAnsi="Arial" w:cs="Arial"/>
          <w:sz w:val="22"/>
          <w:szCs w:val="22"/>
        </w:rPr>
      </w:pPr>
      <w:r>
        <w:rPr>
          <w:rFonts w:ascii="Arial" w:eastAsia="Arial" w:hAnsi="Arial" w:cs="Arial"/>
          <w:sz w:val="22"/>
          <w:szCs w:val="22"/>
          <w:u w:val="single"/>
        </w:rPr>
        <w:t xml:space="preserve">Le sujet </w:t>
      </w:r>
      <w:r>
        <w:rPr>
          <w:rFonts w:ascii="Arial" w:eastAsia="Arial" w:hAnsi="Arial" w:cs="Arial"/>
          <w:i/>
          <w:iCs/>
          <w:sz w:val="22"/>
          <w:szCs w:val="22"/>
          <w:u w:val="single"/>
        </w:rPr>
        <w:t>eau</w:t>
      </w:r>
      <w:r>
        <w:rPr>
          <w:rFonts w:ascii="Arial" w:eastAsia="Arial" w:hAnsi="Arial" w:cs="Arial"/>
          <w:sz w:val="22"/>
          <w:szCs w:val="22"/>
        </w:rPr>
        <w:t xml:space="preserve"> reste émergent, avec même une matérialité en recul en moyenne ! Il reste principalement identifié par les secteurs industriels, le BTP et certaines entreprises de l’agroalimentaire. </w:t>
      </w:r>
      <w:commentRangeStart w:id="5"/>
      <w:r>
        <w:rPr>
          <w:rFonts w:ascii="Arial" w:eastAsia="Arial" w:hAnsi="Arial" w:cs="Arial"/>
          <w:sz w:val="22"/>
          <w:szCs w:val="22"/>
          <w:u w:val="single"/>
        </w:rPr>
        <w:t>Dans le secteur industriel</w:t>
      </w:r>
      <w:commentRangeEnd w:id="5"/>
      <w:r>
        <w:rPr>
          <w:rStyle w:val="Marquedecommentaire"/>
          <w:rFonts w:ascii="Arial" w:eastAsia="Arial" w:hAnsi="Arial" w:cs="Arial"/>
          <w:sz w:val="22"/>
          <w:szCs w:val="22"/>
          <w:u w:val="single"/>
        </w:rPr>
        <w:commentReference w:id="5"/>
      </w:r>
      <w:r>
        <w:rPr>
          <w:rFonts w:ascii="Arial" w:eastAsia="Arial" w:hAnsi="Arial" w:cs="Arial"/>
          <w:sz w:val="22"/>
          <w:szCs w:val="22"/>
          <w:u w:val="single"/>
        </w:rPr>
        <w:t>, 54 % des entreprises</w:t>
      </w:r>
      <w:r>
        <w:rPr>
          <w:rFonts w:ascii="Arial" w:eastAsia="Arial" w:hAnsi="Arial" w:cs="Arial"/>
          <w:sz w:val="22"/>
          <w:szCs w:val="22"/>
        </w:rPr>
        <w:t xml:space="preserve"> évaluent l’eau comme un sujet matériel pour leurs activités. </w:t>
      </w:r>
      <w:r>
        <w:rPr>
          <w:rFonts w:ascii="Arial" w:eastAsia="Arial" w:hAnsi="Arial" w:cs="Arial"/>
          <w:color w:val="000000" w:themeColor="text1"/>
          <w:sz w:val="22"/>
          <w:szCs w:val="22"/>
        </w:rPr>
        <w:t>Les entreprises ayant pleinement intégré les enjeux de l’eau à leurs risques restent peu nombreuses.</w:t>
      </w:r>
    </w:p>
    <w:p w14:paraId="34E719F1" w14:textId="77777777" w:rsidR="007001C9" w:rsidRDefault="00000000">
      <w:pPr>
        <w:pBdr>
          <w:top w:val="none" w:sz="4" w:space="0" w:color="000000"/>
          <w:left w:val="none" w:sz="4" w:space="0" w:color="000000"/>
          <w:bottom w:val="none" w:sz="4" w:space="0" w:color="000000"/>
          <w:right w:val="none" w:sz="4" w:space="0" w:color="000000"/>
        </w:pBdr>
        <w:rPr>
          <w:rFonts w:ascii="Arial" w:eastAsia="Arial" w:hAnsi="Arial" w:cs="Arial"/>
          <w:color w:val="000000" w:themeColor="text1"/>
          <w:sz w:val="22"/>
          <w:szCs w:val="22"/>
        </w:rPr>
      </w:pPr>
      <w:r>
        <w:rPr>
          <w:rFonts w:ascii="Arial" w:eastAsia="Arial" w:hAnsi="Arial" w:cs="Arial"/>
          <w:sz w:val="22"/>
          <w:szCs w:val="22"/>
        </w:rPr>
        <w:t>Concernant</w:t>
      </w:r>
      <w:r>
        <w:rPr>
          <w:rFonts w:ascii="Arial" w:eastAsia="Arial" w:hAnsi="Arial" w:cs="Arial"/>
          <w:color w:val="000000"/>
          <w:sz w:val="22"/>
          <w:szCs w:val="18"/>
        </w:rPr>
        <w:t xml:space="preserve"> </w:t>
      </w:r>
      <w:r>
        <w:rPr>
          <w:rFonts w:ascii="Arial" w:eastAsia="Arial" w:hAnsi="Arial" w:cs="Arial"/>
          <w:color w:val="000000"/>
          <w:sz w:val="22"/>
          <w:szCs w:val="18"/>
          <w:u w:val="single"/>
        </w:rPr>
        <w:t>la taxonomie</w:t>
      </w:r>
      <w:r>
        <w:rPr>
          <w:rFonts w:ascii="Arial" w:eastAsia="Arial" w:hAnsi="Arial" w:cs="Arial"/>
          <w:color w:val="000000"/>
          <w:sz w:val="22"/>
          <w:szCs w:val="18"/>
        </w:rPr>
        <w:t xml:space="preserve">, les évolutions observées sur les </w:t>
      </w:r>
      <w:r>
        <w:rPr>
          <w:rFonts w:ascii="Arial" w:eastAsia="Arial" w:hAnsi="Arial" w:cs="Arial"/>
          <w:color w:val="000000"/>
          <w:sz w:val="22"/>
          <w:szCs w:val="18"/>
          <w:u w:val="single"/>
        </w:rPr>
        <w:t>CAPEX et OPEX</w:t>
      </w:r>
      <w:r>
        <w:rPr>
          <w:rFonts w:ascii="Arial" w:eastAsia="Arial" w:hAnsi="Arial" w:cs="Arial"/>
          <w:color w:val="000000"/>
          <w:sz w:val="22"/>
          <w:szCs w:val="18"/>
        </w:rPr>
        <w:t xml:space="preserve"> reflètent surtout une application plus précise des critères techniques et du principe</w:t>
      </w:r>
      <w:r>
        <w:rPr>
          <w:rFonts w:ascii="Arial" w:eastAsia="Arial" w:hAnsi="Arial" w:cs="Arial"/>
          <w:color w:val="000000" w:themeColor="text1"/>
          <w:sz w:val="22"/>
          <w:szCs w:val="18"/>
        </w:rPr>
        <w:t xml:space="preserve"> DNSH (</w:t>
      </w:r>
      <w:r>
        <w:rPr>
          <w:rFonts w:ascii="Arial" w:eastAsia="Arial" w:hAnsi="Arial" w:cs="Arial"/>
          <w:i/>
          <w:iCs/>
          <w:color w:val="000000" w:themeColor="text1"/>
          <w:sz w:val="22"/>
          <w:szCs w:val="18"/>
        </w:rPr>
        <w:t>Do No Significant Harm</w:t>
      </w:r>
      <w:r>
        <w:rPr>
          <w:rFonts w:ascii="Arial" w:eastAsia="Arial" w:hAnsi="Arial" w:cs="Arial"/>
          <w:color w:val="000000" w:themeColor="text1"/>
          <w:sz w:val="22"/>
          <w:szCs w:val="18"/>
        </w:rPr>
        <w:t>) s</w:t>
      </w:r>
      <w:r>
        <w:rPr>
          <w:rFonts w:ascii="Arial" w:eastAsia="Arial" w:hAnsi="Arial" w:cs="Arial"/>
          <w:color w:val="000000"/>
          <w:sz w:val="22"/>
          <w:szCs w:val="18"/>
        </w:rPr>
        <w:t>ur l’eau et la biodiversité.</w:t>
      </w:r>
      <w:r>
        <w:rPr>
          <w:rFonts w:ascii="Arial" w:eastAsia="Arial" w:hAnsi="Arial" w:cs="Arial"/>
          <w:color w:val="000000"/>
          <w:sz w:val="22"/>
          <w:szCs w:val="22"/>
        </w:rPr>
        <w:t xml:space="preserve"> C</w:t>
      </w:r>
      <w:r>
        <w:rPr>
          <w:rFonts w:ascii="Arial" w:eastAsia="Arial" w:hAnsi="Arial" w:cs="Arial"/>
          <w:color w:val="000000" w:themeColor="text1"/>
          <w:sz w:val="22"/>
          <w:szCs w:val="22"/>
        </w:rPr>
        <w:t>ertaines entreprises ont vu leur CAPEX fortement augmenter entre 2024 et 2025, telles que Viridien et BioMérieux (+23 %), ainsi que Vinci et OPMobility (+21 %), traduisant un effort de leurs dépenses d’investissement pour la transition écologique.</w:t>
      </w:r>
    </w:p>
    <w:p w14:paraId="34EC18FD" w14:textId="77777777" w:rsidR="007001C9" w:rsidRDefault="007001C9">
      <w:pPr>
        <w:pBdr>
          <w:top w:val="none" w:sz="4" w:space="0" w:color="000000"/>
          <w:left w:val="none" w:sz="4" w:space="0" w:color="000000"/>
          <w:bottom w:val="none" w:sz="4" w:space="0" w:color="000000"/>
          <w:right w:val="none" w:sz="4" w:space="0" w:color="000000"/>
        </w:pBdr>
        <w:rPr>
          <w:rFonts w:ascii="Arial" w:eastAsia="Arial" w:hAnsi="Arial" w:cs="Arial"/>
          <w:b/>
          <w:bCs/>
          <w:color w:val="0080A0"/>
          <w:sz w:val="22"/>
          <w:szCs w:val="22"/>
        </w:rPr>
      </w:pPr>
    </w:p>
    <w:p w14:paraId="036C87E0" w14:textId="77777777" w:rsidR="007001C9" w:rsidRDefault="00000000">
      <w:pPr>
        <w:pBdr>
          <w:top w:val="none" w:sz="4" w:space="0" w:color="000000"/>
          <w:left w:val="none" w:sz="4" w:space="0" w:color="000000"/>
          <w:bottom w:val="none" w:sz="4" w:space="0" w:color="000000"/>
          <w:right w:val="none" w:sz="4" w:space="0" w:color="000000"/>
        </w:pBdr>
        <w:rPr>
          <w:rFonts w:ascii="Arial" w:eastAsia="Arial" w:hAnsi="Arial" w:cs="Arial"/>
          <w:b/>
          <w:bCs/>
          <w:color w:val="0080A0"/>
          <w:sz w:val="24"/>
          <w:szCs w:val="24"/>
        </w:rPr>
      </w:pPr>
      <w:r>
        <w:rPr>
          <w:rFonts w:ascii="Arial" w:eastAsia="Arial" w:hAnsi="Arial" w:cs="Arial"/>
          <w:b/>
          <w:bCs/>
          <w:color w:val="0080A0"/>
          <w:sz w:val="24"/>
          <w:szCs w:val="24"/>
        </w:rPr>
        <w:t>Sortir de la seule logique de conformité</w:t>
      </w:r>
    </w:p>
    <w:p w14:paraId="0B7FB39F" w14:textId="77777777" w:rsidR="007001C9" w:rsidRDefault="00000000">
      <w:pPr>
        <w:spacing w:after="0"/>
        <w:rPr>
          <w:rFonts w:ascii="Arial" w:eastAsia="Arial" w:hAnsi="Arial" w:cs="Arial"/>
          <w:sz w:val="22"/>
          <w:szCs w:val="22"/>
        </w:rPr>
      </w:pPr>
      <w:r>
        <w:rPr>
          <w:rFonts w:ascii="Arial" w:eastAsia="Arial" w:hAnsi="Arial" w:cs="Arial"/>
          <w:sz w:val="22"/>
          <w:szCs w:val="22"/>
        </w:rPr>
        <w:t>À travers cette nouvelle édition du baromètre, BL évolution observe une progression réelle dans la manière dont les entreprises structurent leur stratégie de durabilité, impliquent leur gouvernance et renforcent leur lecture des enjeux ESG.</w:t>
      </w:r>
    </w:p>
    <w:p w14:paraId="1BB39BEA" w14:textId="77777777" w:rsidR="007001C9" w:rsidRDefault="007001C9">
      <w:pPr>
        <w:spacing w:after="0"/>
        <w:rPr>
          <w:rFonts w:ascii="Arial" w:eastAsia="Arial" w:hAnsi="Arial" w:cs="Arial"/>
          <w:sz w:val="22"/>
          <w:szCs w:val="22"/>
        </w:rPr>
      </w:pPr>
    </w:p>
    <w:p w14:paraId="7B609929" w14:textId="77777777" w:rsidR="007001C9" w:rsidRDefault="00000000">
      <w:pPr>
        <w:spacing w:after="0"/>
        <w:rPr>
          <w:rFonts w:ascii="Arial" w:eastAsia="Arial" w:hAnsi="Arial" w:cs="Arial"/>
          <w:sz w:val="22"/>
          <w:szCs w:val="22"/>
        </w:rPr>
      </w:pPr>
      <w:r>
        <w:rPr>
          <w:rFonts w:ascii="Arial" w:eastAsia="Arial" w:hAnsi="Arial" w:cs="Arial"/>
          <w:sz w:val="22"/>
          <w:szCs w:val="22"/>
        </w:rPr>
        <w:t>Pour assurer leur pérennité à moyen terme, les entreprises vont devoir maintenant assumer d’aller au delà de la simple logique de confirmé pour positionner la CSRD comme un outil utile de réflexion stratégique, de suivi des actions, de transformation du business, de réduction des risques et de création de valeur.</w:t>
      </w:r>
    </w:p>
    <w:p w14:paraId="1D2EA4B0" w14:textId="77777777" w:rsidR="007001C9" w:rsidRDefault="007001C9">
      <w:pPr>
        <w:rPr>
          <w:rFonts w:ascii="Arial" w:hAnsi="Arial" w:cs="Arial"/>
          <w:bCs/>
          <w:i/>
          <w:sz w:val="24"/>
          <w:szCs w:val="24"/>
        </w:rPr>
      </w:pPr>
    </w:p>
    <w:p w14:paraId="3D1AA085" w14:textId="77777777" w:rsidR="007001C9" w:rsidRDefault="00000000">
      <w:pPr>
        <w:rPr>
          <w:rFonts w:ascii="Arial" w:eastAsia="Arial" w:hAnsi="Arial" w:cs="Arial"/>
          <w:i/>
          <w:sz w:val="22"/>
          <w:szCs w:val="22"/>
        </w:rPr>
      </w:pPr>
      <w:r>
        <w:rPr>
          <w:rFonts w:ascii="Arial" w:eastAsia="Arial" w:hAnsi="Arial" w:cs="Arial"/>
          <w:b/>
          <w:color w:val="0D0D0D"/>
          <w:sz w:val="22"/>
          <w:szCs w:val="22"/>
        </w:rPr>
        <w:t xml:space="preserve">Le baromètre sera publié sur le site de BL évolution mardi 14 avril </w:t>
      </w:r>
      <w:r>
        <w:rPr>
          <w:rFonts w:ascii="Arial" w:eastAsia="Arial" w:hAnsi="Arial" w:cs="Arial"/>
          <w:i/>
          <w:sz w:val="22"/>
          <w:szCs w:val="22"/>
        </w:rPr>
        <w:t>– Embargo : merci de ne pas diffuser avant la date de publication</w:t>
      </w:r>
    </w:p>
    <w:p w14:paraId="418CEC47" w14:textId="77777777" w:rsidR="007001C9" w:rsidRDefault="00000000">
      <w:pPr>
        <w:shd w:val="clear" w:color="auto" w:fill="FFFFFF"/>
        <w:spacing w:after="0"/>
        <w:rPr>
          <w:rFonts w:ascii="Arial" w:eastAsia="Arial" w:hAnsi="Arial" w:cs="Arial"/>
          <w:b/>
          <w:color w:val="86BF5A"/>
          <w:sz w:val="22"/>
          <w:szCs w:val="22"/>
        </w:rPr>
      </w:pPr>
      <w:hyperlink r:id="rId11" w:tooltip="https://www.bl-evolution.com/publication/" w:history="1">
        <w:r>
          <w:rPr>
            <w:rFonts w:ascii="Arial" w:eastAsia="Arial" w:hAnsi="Arial" w:cs="Arial"/>
            <w:color w:val="86BF5A"/>
            <w:sz w:val="22"/>
            <w:szCs w:val="22"/>
            <w:u w:val="single"/>
          </w:rPr>
          <w:t>www.bl-evolution.com/publication</w:t>
        </w:r>
      </w:hyperlink>
    </w:p>
    <w:p w14:paraId="6FB43E31" w14:textId="77777777" w:rsidR="007001C9" w:rsidRDefault="007001C9">
      <w:pPr>
        <w:shd w:val="clear" w:color="auto" w:fill="FFFFFF"/>
        <w:spacing w:after="0"/>
      </w:pPr>
    </w:p>
    <w:p w14:paraId="56513117" w14:textId="77777777" w:rsidR="007001C9" w:rsidRDefault="007001C9">
      <w:pPr>
        <w:keepNext/>
        <w:keepLines/>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Lexend" w:eastAsia="Lexend" w:hAnsi="Lexend" w:cs="Lexend"/>
          <w:b/>
          <w:color w:val="3F9AB8"/>
          <w:sz w:val="24"/>
          <w:szCs w:val="24"/>
          <w:highlight w:val="yellow"/>
        </w:rPr>
      </w:pPr>
    </w:p>
    <w:p w14:paraId="03D51C45" w14:textId="77777777" w:rsidR="007001C9" w:rsidRDefault="00000000">
      <w:pPr>
        <w:keepNext/>
        <w:keepLines/>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b/>
          <w:color w:val="3F9AB8"/>
          <w:sz w:val="24"/>
          <w:szCs w:val="24"/>
        </w:rPr>
      </w:pPr>
      <w:r>
        <w:rPr>
          <w:rFonts w:ascii="Arial" w:eastAsia="Arial" w:hAnsi="Arial" w:cs="Arial"/>
          <w:b/>
          <w:color w:val="3F9AB8"/>
          <w:sz w:val="24"/>
          <w:szCs w:val="24"/>
        </w:rPr>
        <w:t>Contacts Presse</w:t>
      </w:r>
    </w:p>
    <w:p w14:paraId="21AA3F89" w14:textId="77777777" w:rsidR="007001C9" w:rsidRDefault="00000000">
      <w:pPr>
        <w:pBdr>
          <w:top w:val="none" w:sz="0" w:space="0" w:color="000000"/>
          <w:left w:val="none" w:sz="0" w:space="0" w:color="000000"/>
          <w:bottom w:val="none" w:sz="0" w:space="0" w:color="000000"/>
          <w:right w:val="none" w:sz="0" w:space="0" w:color="000000"/>
          <w:between w:val="none" w:sz="0" w:space="0" w:color="000000"/>
        </w:pBdr>
        <w:spacing w:before="120" w:after="200"/>
        <w:jc w:val="left"/>
        <w:rPr>
          <w:rFonts w:ascii="Arial" w:eastAsia="Arial" w:hAnsi="Arial" w:cs="Arial"/>
          <w:sz w:val="22"/>
          <w:szCs w:val="22"/>
        </w:rPr>
      </w:pPr>
      <w:r>
        <w:rPr>
          <w:rFonts w:ascii="Arial" w:eastAsia="Arial" w:hAnsi="Arial" w:cs="Arial"/>
          <w:b/>
          <w:sz w:val="22"/>
          <w:szCs w:val="22"/>
        </w:rPr>
        <w:t>Sylvain Boucherand,</w:t>
      </w:r>
      <w:r>
        <w:rPr>
          <w:rFonts w:ascii="Arial" w:eastAsia="Arial" w:hAnsi="Arial" w:cs="Arial"/>
          <w:sz w:val="22"/>
          <w:szCs w:val="22"/>
        </w:rPr>
        <w:t xml:space="preserve"> CEO de BL évolution - </w:t>
      </w:r>
      <w:hyperlink r:id="rId12" w:tooltip="mailto:presse@bl-evolution.com" w:history="1">
        <w:r>
          <w:rPr>
            <w:rFonts w:ascii="Arial" w:eastAsia="Arial" w:hAnsi="Arial" w:cs="Arial"/>
            <w:color w:val="86BF5A"/>
            <w:sz w:val="22"/>
            <w:szCs w:val="22"/>
            <w:u w:val="single"/>
          </w:rPr>
          <w:t>presse@bl-evolution.com</w:t>
        </w:r>
      </w:hyperlink>
      <w:r>
        <w:rPr>
          <w:rFonts w:ascii="Arial" w:eastAsia="Arial" w:hAnsi="Arial" w:cs="Arial"/>
          <w:sz w:val="22"/>
          <w:szCs w:val="22"/>
        </w:rPr>
        <w:t xml:space="preserve"> - 07 63 63 25 89</w:t>
      </w:r>
    </w:p>
    <w:p w14:paraId="1B5434A7" w14:textId="77777777" w:rsidR="007001C9" w:rsidRDefault="00000000">
      <w:pPr>
        <w:pBdr>
          <w:top w:val="none" w:sz="0" w:space="0" w:color="000000"/>
          <w:left w:val="none" w:sz="0" w:space="0" w:color="000000"/>
          <w:bottom w:val="none" w:sz="0" w:space="0" w:color="000000"/>
          <w:right w:val="none" w:sz="0" w:space="0" w:color="000000"/>
          <w:between w:val="none" w:sz="0" w:space="0" w:color="000000"/>
        </w:pBdr>
        <w:spacing w:before="120" w:after="0"/>
        <w:jc w:val="left"/>
        <w:rPr>
          <w:rFonts w:ascii="Arial" w:eastAsia="Arial" w:hAnsi="Arial" w:cs="Arial"/>
          <w:sz w:val="22"/>
          <w:szCs w:val="22"/>
        </w:rPr>
      </w:pPr>
      <w:r>
        <w:rPr>
          <w:rFonts w:ascii="Arial" w:eastAsia="Arial" w:hAnsi="Arial" w:cs="Arial"/>
          <w:b/>
          <w:sz w:val="22"/>
          <w:szCs w:val="22"/>
        </w:rPr>
        <w:t>Julie Picard</w:t>
      </w:r>
      <w:r>
        <w:rPr>
          <w:rFonts w:ascii="Arial" w:eastAsia="Arial" w:hAnsi="Arial" w:cs="Arial"/>
          <w:sz w:val="22"/>
          <w:szCs w:val="22"/>
        </w:rPr>
        <w:t xml:space="preserve">, Responsable communication, BL évolution - </w:t>
      </w:r>
      <w:hyperlink r:id="rId13" w:tooltip="mailto:julie.picard@bl-evolution.com" w:history="1">
        <w:r>
          <w:rPr>
            <w:rFonts w:ascii="Arial" w:eastAsia="Arial" w:hAnsi="Arial" w:cs="Arial"/>
            <w:color w:val="86BF5A"/>
            <w:sz w:val="22"/>
            <w:szCs w:val="22"/>
            <w:u w:val="single"/>
          </w:rPr>
          <w:t>julie.picard@bl-evolution.com</w:t>
        </w:r>
      </w:hyperlink>
      <w:r>
        <w:rPr>
          <w:rFonts w:ascii="Arial" w:eastAsia="Arial" w:hAnsi="Arial" w:cs="Arial"/>
          <w:sz w:val="22"/>
          <w:szCs w:val="22"/>
        </w:rPr>
        <w:t xml:space="preserve"> - 0</w:t>
      </w:r>
      <w:r>
        <w:rPr>
          <w:rFonts w:ascii="Arial" w:eastAsia="Arial" w:hAnsi="Arial" w:cs="Arial"/>
          <w:sz w:val="22"/>
          <w:szCs w:val="22"/>
          <w:highlight w:val="white"/>
        </w:rPr>
        <w:t>6 65 42 58 66</w:t>
      </w:r>
    </w:p>
    <w:p w14:paraId="0874A1E5" w14:textId="77777777" w:rsidR="007001C9" w:rsidRDefault="007001C9">
      <w:pPr>
        <w:pBdr>
          <w:top w:val="none" w:sz="0" w:space="0" w:color="000000"/>
          <w:left w:val="none" w:sz="0" w:space="0" w:color="000000"/>
          <w:bottom w:val="none" w:sz="0" w:space="0" w:color="000000"/>
          <w:right w:val="none" w:sz="0" w:space="0" w:color="000000"/>
          <w:between w:val="none" w:sz="0" w:space="0" w:color="000000"/>
        </w:pBdr>
        <w:spacing w:before="120" w:after="0"/>
        <w:jc w:val="left"/>
        <w:rPr>
          <w:rFonts w:ascii="Arial" w:eastAsia="Arial" w:hAnsi="Arial" w:cs="Arial"/>
          <w:color w:val="A1D68B"/>
          <w:sz w:val="22"/>
          <w:szCs w:val="22"/>
        </w:rPr>
      </w:pPr>
    </w:p>
    <w:p w14:paraId="7D737CA5" w14:textId="77777777" w:rsidR="007001C9" w:rsidRDefault="007001C9">
      <w:pPr>
        <w:pBdr>
          <w:top w:val="none" w:sz="0" w:space="0" w:color="000000"/>
          <w:left w:val="none" w:sz="0" w:space="0" w:color="000000"/>
          <w:bottom w:val="none" w:sz="0" w:space="0" w:color="000000"/>
          <w:right w:val="none" w:sz="0" w:space="0" w:color="000000"/>
          <w:between w:val="none" w:sz="0" w:space="0" w:color="000000"/>
        </w:pBdr>
        <w:spacing w:before="120" w:after="0"/>
        <w:jc w:val="left"/>
        <w:rPr>
          <w:rFonts w:ascii="Arial" w:eastAsia="Arial" w:hAnsi="Arial" w:cs="Arial"/>
          <w:color w:val="A1D68B"/>
          <w:sz w:val="22"/>
          <w:szCs w:val="22"/>
        </w:rPr>
      </w:pPr>
    </w:p>
    <w:p w14:paraId="5281B775" w14:textId="77777777" w:rsidR="007001C9" w:rsidRDefault="00000000">
      <w:pPr>
        <w:keepNext/>
        <w:keepLines/>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b/>
          <w:color w:val="3F9AB8"/>
          <w:sz w:val="24"/>
          <w:szCs w:val="24"/>
        </w:rPr>
      </w:pPr>
      <w:r>
        <w:rPr>
          <w:rFonts w:ascii="Arial" w:eastAsia="Arial" w:hAnsi="Arial" w:cs="Arial"/>
          <w:b/>
          <w:color w:val="3F9AB8"/>
          <w:sz w:val="24"/>
          <w:szCs w:val="24"/>
        </w:rPr>
        <w:lastRenderedPageBreak/>
        <w:t>A propos de BL évolution</w:t>
      </w:r>
    </w:p>
    <w:p w14:paraId="5567E489" w14:textId="77777777" w:rsidR="007001C9"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A l'heure où les crises environnementales et sociétales interrogent et bouleversent les modèles économiques et sociaux, BL évolution apporte à ses clients analyses, conseils et méthodes pour accélérer la transition écologique.</w:t>
      </w:r>
    </w:p>
    <w:p w14:paraId="0DB73E3B" w14:textId="77777777" w:rsidR="007001C9"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Nous croyons à la nécessité d'apporter les </w:t>
      </w:r>
      <w:commentRangeStart w:id="6"/>
      <w:r>
        <w:rPr>
          <w:rFonts w:ascii="Arial" w:eastAsia="Arial" w:hAnsi="Arial" w:cs="Arial"/>
          <w:color w:val="222222"/>
          <w:sz w:val="22"/>
          <w:szCs w:val="22"/>
        </w:rPr>
        <w:t>meilleures</w:t>
      </w:r>
      <w:commentRangeEnd w:id="6"/>
      <w:r>
        <w:rPr>
          <w:rStyle w:val="Marquedecommentaire"/>
          <w:rFonts w:ascii="Arial" w:eastAsia="Arial" w:hAnsi="Arial" w:cs="Arial"/>
          <w:color w:val="222222"/>
          <w:sz w:val="22"/>
          <w:szCs w:val="22"/>
        </w:rPr>
        <w:commentReference w:id="6"/>
      </w:r>
      <w:r>
        <w:rPr>
          <w:rFonts w:ascii="Arial" w:eastAsia="Arial" w:hAnsi="Arial" w:cs="Arial"/>
          <w:color w:val="222222"/>
          <w:sz w:val="22"/>
          <w:szCs w:val="22"/>
        </w:rPr>
        <w:t xml:space="preserve"> analyses et meilleurs outils pour équiper les acteurs publics et privés dans leurs stratégies d'adaptation et de transformation. Nous sommes engagés à leurs côtés pour réussir chaque étape et dessiner, avec eux, des perspectives de développement plus écologiques, plus solidaires et donc, plus durables.</w:t>
      </w:r>
    </w:p>
    <w:p w14:paraId="724761C8" w14:textId="77777777" w:rsidR="007001C9" w:rsidRDefault="00000000">
      <w:pPr>
        <w:shd w:val="clear" w:color="auto" w:fill="FFFFFF"/>
        <w:rPr>
          <w:rFonts w:ascii="Arial" w:eastAsia="Arial" w:hAnsi="Arial" w:cs="Arial"/>
        </w:rPr>
      </w:pPr>
      <w:r>
        <w:rPr>
          <w:rFonts w:ascii="Arial" w:eastAsia="Arial" w:hAnsi="Arial" w:cs="Arial"/>
          <w:b/>
          <w:color w:val="222222"/>
          <w:sz w:val="22"/>
          <w:szCs w:val="22"/>
        </w:rPr>
        <w:t>En savoir plus : </w:t>
      </w:r>
      <w:hyperlink r:id="rId14" w:tooltip="http://www.bl-evolution.com/" w:history="1">
        <w:r>
          <w:rPr>
            <w:rFonts w:ascii="Arial" w:eastAsia="Arial" w:hAnsi="Arial" w:cs="Arial"/>
            <w:color w:val="A1D68B"/>
            <w:sz w:val="22"/>
            <w:szCs w:val="22"/>
            <w:u w:val="single"/>
          </w:rPr>
          <w:t>www.bl-evolution.com</w:t>
        </w:r>
      </w:hyperlink>
    </w:p>
    <w:sectPr w:rsidR="007001C9">
      <w:headerReference w:type="default" r:id="rId15"/>
      <w:footerReference w:type="default" r:id="rId16"/>
      <w:pgSz w:w="11900" w:h="16840"/>
      <w:pgMar w:top="1440" w:right="1077" w:bottom="1440" w:left="1077" w:header="284" w:footer="397" w:gutter="0"/>
      <w:pgNumType w:start="1"/>
      <w:cols w:space="17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ctoire ADNET" w:date="2026-04-08T18:56:00Z" w:initials="VA">
    <w:p w14:paraId="00000005" w14:textId="00000005" w:rsidR="007001C9" w:rsidRDefault="007E76F0">
      <w:pPr>
        <w:spacing w:after="0"/>
        <w:jc w:val="left"/>
      </w:pPr>
      <w:r>
        <w:rPr>
          <w:rStyle w:val="Marquedecommentaire"/>
        </w:rPr>
        <w:annotationRef/>
      </w:r>
      <w:r w:rsidR="00000000">
        <w:rPr>
          <w:rFonts w:ascii="Arial" w:eastAsia="Arial" w:hAnsi="Arial" w:cs="Arial"/>
          <w:sz w:val="22"/>
        </w:rPr>
        <w:t>préférence pour celui-ci qui est plus parlant</w:t>
      </w:r>
    </w:p>
  </w:comment>
  <w:comment w:id="1" w:author="Eloïse BRIODIN" w:date="2026-04-09T08:45:00Z" w:initials="EB">
    <w:p w14:paraId="00000006" w14:textId="00000006" w:rsidR="007001C9" w:rsidRDefault="007E76F0">
      <w:pPr>
        <w:spacing w:after="0"/>
        <w:jc w:val="left"/>
      </w:pPr>
      <w:r>
        <w:rPr>
          <w:rStyle w:val="Marquedecommentaire"/>
        </w:rPr>
        <w:annotationRef/>
      </w:r>
      <w:r w:rsidR="00000000">
        <w:rPr>
          <w:rFonts w:ascii="Arial" w:eastAsia="Arial" w:hAnsi="Arial" w:cs="Arial"/>
          <w:sz w:val="22"/>
        </w:rPr>
        <w:t>je suis dac</w:t>
      </w:r>
    </w:p>
  </w:comment>
  <w:comment w:id="2" w:author="Sylvain BOUCHERAND" w:date="2026-04-09T11:19:00Z" w:initials="SB">
    <w:p w14:paraId="00000007" w14:textId="00000007" w:rsidR="007001C9" w:rsidRDefault="007E76F0">
      <w:pPr>
        <w:spacing w:after="0"/>
        <w:jc w:val="left"/>
      </w:pPr>
      <w:r>
        <w:rPr>
          <w:rStyle w:val="Marquedecommentaire"/>
        </w:rPr>
        <w:annotationRef/>
      </w:r>
      <w:r w:rsidR="00000000">
        <w:rPr>
          <w:rFonts w:ascii="Arial" w:eastAsia="Arial" w:hAnsi="Arial" w:cs="Arial"/>
          <w:sz w:val="22"/>
        </w:rPr>
        <w:t>ok pour ce titre TB</w:t>
      </w:r>
    </w:p>
  </w:comment>
  <w:comment w:id="3" w:author="Victoire ADNET" w:date="2026-04-09T16:46:00Z" w:initials="VA">
    <w:p w14:paraId="00000004" w14:textId="00000004" w:rsidR="007001C9" w:rsidRDefault="007E76F0">
      <w:pPr>
        <w:spacing w:after="0"/>
        <w:jc w:val="left"/>
      </w:pPr>
      <w:r>
        <w:rPr>
          <w:rStyle w:val="Marquedecommentaire"/>
        </w:rPr>
        <w:annotationRef/>
      </w:r>
      <w:r w:rsidR="00000000">
        <w:rPr>
          <w:rFonts w:ascii="Arial" w:eastAsia="Arial" w:hAnsi="Arial" w:cs="Arial"/>
          <w:sz w:val="22"/>
        </w:rPr>
        <w:t>Il reste à 8, pas sûre que ce soit utile de le souligner</w:t>
      </w:r>
    </w:p>
  </w:comment>
  <w:comment w:id="4" w:author="Victoire ADNET" w:date="2026-04-09T16:49:00Z" w:initials="VA">
    <w:p w14:paraId="00000003" w14:textId="00000003" w:rsidR="007001C9" w:rsidRDefault="007E76F0">
      <w:pPr>
        <w:spacing w:after="0"/>
        <w:jc w:val="left"/>
      </w:pPr>
      <w:r>
        <w:rPr>
          <w:rStyle w:val="Marquedecommentaire"/>
        </w:rPr>
        <w:annotationRef/>
      </w:r>
      <w:r w:rsidR="00000000">
        <w:rPr>
          <w:rFonts w:ascii="Arial" w:eastAsia="Arial" w:hAnsi="Arial" w:cs="Arial"/>
          <w:sz w:val="22"/>
        </w:rPr>
        <w:t>J'ai reformulé pcq c'est pas les objectifs en eux mêmes qui ont évolué, c'est le nombre d'entreprises qui en ont.</w:t>
      </w:r>
    </w:p>
  </w:comment>
  <w:comment w:id="5" w:author="Victoire ADNET" w:date="2026-04-08T19:01:00Z" w:initials="VA">
    <w:p w14:paraId="00000002" w14:textId="00000002" w:rsidR="007001C9" w:rsidRDefault="007E76F0">
      <w:pPr>
        <w:spacing w:after="0"/>
        <w:jc w:val="left"/>
      </w:pPr>
      <w:r>
        <w:rPr>
          <w:rStyle w:val="Marquedecommentaire"/>
        </w:rPr>
        <w:annotationRef/>
      </w:r>
      <w:r w:rsidR="00000000">
        <w:rPr>
          <w:rFonts w:ascii="Arial" w:eastAsia="Arial" w:hAnsi="Arial" w:cs="Arial"/>
          <w:sz w:val="22"/>
        </w:rPr>
        <w:t>soit "dans l'industrie" soit "dans le secteur industriel" ?</w:t>
      </w:r>
    </w:p>
  </w:comment>
  <w:comment w:id="6" w:author="Victoire ADNET" w:date="2026-04-08T19:04:00Z" w:initials="VA">
    <w:p w14:paraId="00000001" w14:textId="00000001" w:rsidR="007001C9" w:rsidRDefault="007E76F0">
      <w:pPr>
        <w:spacing w:after="0"/>
        <w:jc w:val="left"/>
      </w:pPr>
      <w:r>
        <w:rPr>
          <w:rStyle w:val="Marquedecommentaire"/>
        </w:rPr>
        <w:annotationRef/>
      </w:r>
      <w:r w:rsidR="00000000">
        <w:rPr>
          <w:rFonts w:ascii="Arial" w:eastAsia="Arial" w:hAnsi="Arial" w:cs="Arial"/>
          <w:sz w:val="22"/>
        </w:rPr>
        <w:t>ça me surprend toujours qu'on mette pas "meilleurs" au masculin vu qu'il y a "outils", c'est pour écrire en écriture inclusive et accorder au mot qui le suit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5" w15:done="1"/>
  <w15:commentEx w15:paraId="00000006" w15:paraIdParent="00000005" w15:done="1"/>
  <w15:commentEx w15:paraId="00000007" w15:paraIdParent="00000005" w15:done="1"/>
  <w15:commentEx w15:paraId="00000004" w15:done="0"/>
  <w15:commentEx w15:paraId="00000003" w15:done="0"/>
  <w15:commentEx w15:paraId="00000002" w15:done="1"/>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2276D8" w16cex:dateUtc="2026-04-08T16:56:00Z"/>
  <w16cex:commentExtensible w16cex:durableId="3578CBF2" w16cex:dateUtc="2026-04-09T06:45:00Z"/>
  <w16cex:commentExtensible w16cex:durableId="29ECCFE5" w16cex:dateUtc="2026-04-09T09:19:00Z"/>
  <w16cex:commentExtensible w16cex:durableId="6A91AC20" w16cex:dateUtc="2026-04-09T14:46:00Z"/>
  <w16cex:commentExtensible w16cex:durableId="798BD528" w16cex:dateUtc="2026-04-09T14:49:00Z"/>
  <w16cex:commentExtensible w16cex:durableId="7BEFEC30" w16cex:dateUtc="2026-04-08T17:01:00Z"/>
  <w16cex:commentExtensible w16cex:durableId="10887436" w16cex:dateUtc="2026-04-08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5" w16cid:durableId="3D2276D8"/>
  <w16cid:commentId w16cid:paraId="00000006" w16cid:durableId="3578CBF2"/>
  <w16cid:commentId w16cid:paraId="00000007" w16cid:durableId="29ECCFE5"/>
  <w16cid:commentId w16cid:paraId="00000004" w16cid:durableId="6A91AC20"/>
  <w16cid:commentId w16cid:paraId="00000003" w16cid:durableId="798BD528"/>
  <w16cid:commentId w16cid:paraId="00000002" w16cid:durableId="7BEFEC30"/>
  <w16cid:commentId w16cid:paraId="00000001" w16cid:durableId="108874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4B01" w14:textId="77777777" w:rsidR="00567DFC" w:rsidRDefault="00567DFC">
      <w:pPr>
        <w:spacing w:after="0"/>
      </w:pPr>
      <w:r>
        <w:separator/>
      </w:r>
    </w:p>
  </w:endnote>
  <w:endnote w:type="continuationSeparator" w:id="0">
    <w:p w14:paraId="59182EA3" w14:textId="77777777" w:rsidR="00567DFC" w:rsidRDefault="00567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exen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61F3" w14:textId="77777777" w:rsidR="007001C9" w:rsidRDefault="00000000">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0"/>
      <w:ind w:left="426"/>
      <w:jc w:val="left"/>
      <w:rPr>
        <w:color w:val="3F9AB8"/>
        <w:sz w:val="16"/>
        <w:szCs w:val="16"/>
      </w:rPr>
    </w:pPr>
    <w:r>
      <w:rPr>
        <w:noProof/>
      </w:rPr>
      <mc:AlternateContent>
        <mc:Choice Requires="wpg">
          <w:drawing>
            <wp:anchor distT="0" distB="0" distL="114300" distR="114300" simplePos="0" relativeHeight="251660288" behindDoc="0" locked="0" layoutInCell="1" allowOverlap="1" wp14:anchorId="231F3D33" wp14:editId="007B9C5B">
              <wp:simplePos x="0" y="0"/>
              <wp:positionH relativeFrom="column">
                <wp:posOffset>-379727</wp:posOffset>
              </wp:positionH>
              <wp:positionV relativeFrom="paragraph">
                <wp:posOffset>-153668</wp:posOffset>
              </wp:positionV>
              <wp:extent cx="666961" cy="591820"/>
              <wp:effectExtent l="0" t="0" r="0" b="0"/>
              <wp:wrapNone/>
              <wp:docPr id="3" name="image4.png" descr="Une image contenant Police, logo, Graphique, text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4.png" descr="Une image contenant Police, logo, Graphique, texte&#10;&#10;Le contenu généré par l’IA peut être incorrect."/>
                      <pic:cNvPicPr/>
                    </pic:nvPicPr>
                    <pic:blipFill rotWithShape="1">
                      <a:blip r:embed="rId1"/>
                      <a:srcRect/>
                      <a:stretch/>
                    </pic:blipFill>
                    <pic:spPr bwMode="auto">
                      <a:xfrm>
                        <a:off x="0" y="0"/>
                        <a:ext cx="666961" cy="591820"/>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0;o:allowoverlap:true;o:allowincell:true;mso-position-horizontal-relative:text;margin-left:-29.90pt;mso-position-horizontal:absolute;mso-position-vertical-relative:text;margin-top:-12.10pt;mso-position-vertical:absolute;width:52.52pt;height:46.60pt;mso-wrap-distance-left:9.00pt;mso-wrap-distance-top:0.00pt;mso-wrap-distance-right:9.00pt;mso-wrap-distance-bottom:0.00pt;z-index:1;">
              <v:imagedata r:id="rId2" o:title="" croptop="0f" cropleft="0f" cropbottom="0f" cropright="0f"/>
              <o:lock v:ext="edit" rotation="t"/>
            </v:shape>
          </w:pict>
        </mc:Fallback>
      </mc:AlternateContent>
    </w:r>
  </w:p>
  <w:p w14:paraId="24B98550" w14:textId="77777777" w:rsidR="007001C9" w:rsidRDefault="00000000">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0"/>
      <w:ind w:left="426"/>
      <w:jc w:val="left"/>
      <w:rPr>
        <w:color w:val="3F9AB8"/>
        <w:sz w:val="16"/>
        <w:szCs w:val="16"/>
      </w:rPr>
    </w:pPr>
    <w:r>
      <w:rPr>
        <w:noProof/>
      </w:rPr>
      <mc:AlternateContent>
        <mc:Choice Requires="wpg">
          <w:drawing>
            <wp:anchor distT="45720" distB="45720" distL="114300" distR="114300" simplePos="0" relativeHeight="251661312" behindDoc="0" locked="0" layoutInCell="1" allowOverlap="1" wp14:anchorId="212A05D5" wp14:editId="642E8DC0">
              <wp:simplePos x="0" y="0"/>
              <wp:positionH relativeFrom="column">
                <wp:posOffset>3873500</wp:posOffset>
              </wp:positionH>
              <wp:positionV relativeFrom="paragraph">
                <wp:posOffset>-93979</wp:posOffset>
              </wp:positionV>
              <wp:extent cx="2427605" cy="582930"/>
              <wp:effectExtent l="0" t="0" r="0" b="0"/>
              <wp:wrapSquare wrapText="bothSides"/>
              <wp:docPr id="4" name="Rectangle 4"/>
              <wp:cNvGraphicFramePr/>
              <a:graphic xmlns:a="http://schemas.openxmlformats.org/drawingml/2006/main">
                <a:graphicData uri="http://schemas.microsoft.com/office/word/2010/wordprocessingShape">
                  <wps:wsp>
                    <wps:cNvSpPr/>
                    <wps:spPr bwMode="auto">
                      <a:xfrm>
                        <a:off x="4160773" y="3517110"/>
                        <a:ext cx="2370454" cy="525780"/>
                      </a:xfrm>
                      <a:prstGeom prst="rect">
                        <a:avLst/>
                      </a:prstGeom>
                      <a:solidFill>
                        <a:srgbClr val="FFFFFF"/>
                      </a:solidFill>
                      <a:ln>
                        <a:noFill/>
                      </a:ln>
                    </wps:spPr>
                    <wps:txbx>
                      <w:txbxContent>
                        <w:p w14:paraId="34ABC6BA" w14:textId="77777777" w:rsidR="007001C9" w:rsidRDefault="00000000">
                          <w:pPr>
                            <w:spacing w:after="0"/>
                            <w:jc w:val="right"/>
                          </w:pPr>
                          <w:r>
                            <w:rPr>
                              <w:b/>
                              <w:color w:val="000000"/>
                              <w:u w:val="single"/>
                            </w:rPr>
                            <w:t>www.bl-evolution.com</w:t>
                          </w:r>
                        </w:p>
                        <w:p w14:paraId="3CF3926E" w14:textId="77777777" w:rsidR="007001C9" w:rsidRDefault="00000000">
                          <w:pPr>
                            <w:spacing w:after="0"/>
                            <w:jc w:val="right"/>
                          </w:pPr>
                          <w:r>
                            <w:rPr>
                              <w:color w:val="000000"/>
                            </w:rPr>
                            <w:t>presse@bl-evolution.com</w:t>
                          </w:r>
                        </w:p>
                      </w:txbxContent>
                    </wps:txbx>
                    <wps:bodyPr spcFirstLastPara="1" wrap="square" lIns="91425" tIns="45700" rIns="91425" bIns="45700" anchor="ctr" anchorCtr="0">
                      <a:noAutofit/>
                    </wps:bodyPr>
                  </wps:wsp>
                </a:graphicData>
              </a:graphic>
            </wp:anchor>
          </w:drawing>
        </mc:Choice>
        <mc:Fallback xmlns:a="http://schemas.openxmlformats.org/drawingml/2006/main">
          <w:pict>
            <v:shape id="shape 3" o:spid="_x0000_s3" o:spt="1" type="#_x0000_t1" style="position:absolute;z-index:0;o:allowoverlap:true;o:allowincell:true;mso-position-horizontal-relative:text;margin-left:305.00pt;mso-position-horizontal:absolute;mso-position-vertical-relative:text;margin-top:-7.40pt;mso-position-vertical:absolute;width:191.15pt;height:45.90pt;mso-wrap-distance-left:9.00pt;mso-wrap-distance-top:3.60pt;mso-wrap-distance-right:9.00pt;mso-wrap-distance-bottom:3.60pt;v-text-anchor:middle;visibility:visible;" fillcolor="#FFFFFF" stroked="f">
              <w10:wrap type="square"/>
              <v:textbox inset="0,0,0,0">
                <w:txbxContent>
                  <w:p>
                    <w:pPr>
                      <w:pBdr/>
                      <w:spacing w:after="0" w:before="0" w:line="240" w:lineRule="auto"/>
                      <w:ind w:right="0" w:firstLine="0" w:left="0"/>
                      <w:jc w:val="right"/>
                      <w:rPr/>
                    </w:pPr>
                    <w:r>
                      <w:rPr>
                        <w:rFonts w:ascii="Calibri" w:hAnsi="Calibri" w:eastAsia="Calibri" w:cs="Calibri"/>
                        <w:b/>
                        <w:i w:val="0"/>
                        <w:smallCaps w:val="0"/>
                        <w:strike w:val="0"/>
                        <w:color w:val="000000"/>
                        <w:sz w:val="20"/>
                        <w:u w:val="single"/>
                        <w:vertAlign w:val="baseline"/>
                      </w:rPr>
                      <w:t xml:space="preserve">www.bl-evolution.com</w:t>
                    </w:r>
                    <w:r/>
                  </w:p>
                  <w:p>
                    <w:pPr>
                      <w:pBdr/>
                      <w:spacing w:after="0" w:before="0" w:line="240" w:lineRule="auto"/>
                      <w:ind w:right="0" w:firstLine="0" w:left="0"/>
                      <w:jc w:val="right"/>
                      <w:rPr/>
                    </w:pPr>
                    <w:r>
                      <w:rPr>
                        <w:rFonts w:ascii="Calibri" w:hAnsi="Calibri" w:eastAsia="Calibri" w:cs="Calibri"/>
                        <w:b/>
                        <w:i w:val="0"/>
                        <w:smallCaps w:val="0"/>
                        <w:strike w:val="0"/>
                        <w:color w:val="000000"/>
                        <w:sz w:val="20"/>
                        <w:u w:val="single"/>
                        <w:vertAlign w:val="baseline"/>
                      </w:rPr>
                    </w:r>
                    <w:r>
                      <w:rPr>
                        <w:rFonts w:ascii="Calibri" w:hAnsi="Calibri" w:eastAsia="Calibri" w:cs="Calibri"/>
                        <w:b w:val="0"/>
                        <w:i w:val="0"/>
                        <w:smallCaps w:val="0"/>
                        <w:strike w:val="0"/>
                        <w:color w:val="000000"/>
                        <w:sz w:val="20"/>
                        <w:vertAlign w:val="baseline"/>
                      </w:rPr>
                      <w:t xml:space="preserve">presse@bl-evolution.com</w:t>
                    </w:r>
                    <w:r/>
                  </w:p>
                </w:txbxContent>
              </v:textbox>
            </v:shape>
          </w:pict>
        </mc:Fallback>
      </mc:AlternateContent>
    </w:r>
  </w:p>
  <w:p w14:paraId="67455D07" w14:textId="77777777" w:rsidR="007001C9" w:rsidRDefault="007001C9">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0"/>
      <w:jc w:val="left"/>
      <w:rPr>
        <w:color w:val="3F9AB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4CBB" w14:textId="77777777" w:rsidR="00567DFC" w:rsidRDefault="00567DFC">
      <w:pPr>
        <w:spacing w:after="0"/>
      </w:pPr>
      <w:r>
        <w:separator/>
      </w:r>
    </w:p>
  </w:footnote>
  <w:footnote w:type="continuationSeparator" w:id="0">
    <w:p w14:paraId="1E56B126" w14:textId="77777777" w:rsidR="00567DFC" w:rsidRDefault="00567D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8135" w14:textId="77777777" w:rsidR="007001C9" w:rsidRDefault="00000000">
    <w:pPr>
      <w:pBdr>
        <w:top w:val="none" w:sz="0" w:space="0" w:color="000000"/>
        <w:left w:val="none" w:sz="0" w:space="0" w:color="000000"/>
        <w:bottom w:val="none" w:sz="0" w:space="0" w:color="000000"/>
        <w:right w:val="none" w:sz="0" w:space="0" w:color="000000"/>
        <w:between w:val="none" w:sz="0" w:space="0" w:color="000000"/>
      </w:pBdr>
      <w:tabs>
        <w:tab w:val="center" w:pos="4153"/>
        <w:tab w:val="right" w:pos="9781"/>
      </w:tabs>
      <w:spacing w:after="0"/>
      <w:jc w:val="center"/>
      <w:rPr>
        <w:color w:val="000000"/>
        <w:sz w:val="16"/>
        <w:szCs w:val="16"/>
      </w:rPr>
    </w:pPr>
    <w:r>
      <w:rPr>
        <w:noProof/>
      </w:rPr>
      <mc:AlternateContent>
        <mc:Choice Requires="wpg">
          <w:drawing>
            <wp:anchor distT="0" distB="0" distL="114300" distR="114300" simplePos="0" relativeHeight="251658240" behindDoc="0" locked="0" layoutInCell="1" allowOverlap="1" wp14:anchorId="26F344A5" wp14:editId="5D9D2251">
              <wp:simplePos x="0" y="0"/>
              <wp:positionH relativeFrom="column">
                <wp:posOffset>-683888</wp:posOffset>
              </wp:positionH>
              <wp:positionV relativeFrom="paragraph">
                <wp:posOffset>185257</wp:posOffset>
              </wp:positionV>
              <wp:extent cx="5345429" cy="4349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rotWithShape="1">
                      <a:blip r:embed="rId1"/>
                      <a:srcRect r="2355"/>
                      <a:stretch/>
                    </pic:blipFill>
                    <pic:spPr bwMode="auto">
                      <a:xfrm>
                        <a:off x="0" y="0"/>
                        <a:ext cx="5345429" cy="434975"/>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53.85pt;mso-position-horizontal:absolute;mso-position-vertical-relative:text;margin-top:14.59pt;mso-position-vertical:absolute;width:420.90pt;height:34.25pt;mso-wrap-distance-left:9.00pt;mso-wrap-distance-top:0.00pt;mso-wrap-distance-right:9.00pt;mso-wrap-distance-bottom:0.00pt;z-index:1;">
              <v:imagedata r:id="rId2" o:title="" croptop="0f" cropleft="0f" cropbottom="0f" cropright="1543f"/>
              <o:lock v:ext="edit" rotation="t"/>
            </v:shape>
          </w:pict>
        </mc:Fallback>
      </mc:AlternateContent>
    </w:r>
    <w:r>
      <w:rPr>
        <w:noProof/>
      </w:rPr>
      <mc:AlternateContent>
        <mc:Choice Requires="wpg">
          <w:drawing>
            <wp:anchor distT="0" distB="0" distL="114300" distR="114300" simplePos="0" relativeHeight="251659264" behindDoc="0" locked="0" layoutInCell="1" allowOverlap="1" wp14:anchorId="703A55FD" wp14:editId="0901BF94">
              <wp:simplePos x="0" y="0"/>
              <wp:positionH relativeFrom="column">
                <wp:posOffset>-539957</wp:posOffset>
              </wp:positionH>
              <wp:positionV relativeFrom="paragraph">
                <wp:posOffset>-78735</wp:posOffset>
              </wp:positionV>
              <wp:extent cx="364513" cy="303761"/>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rotWithShape="1">
                      <a:blip r:embed="rId3"/>
                      <a:srcRect/>
                      <a:stretch/>
                    </pic:blipFill>
                    <pic:spPr bwMode="auto">
                      <a:xfrm>
                        <a:off x="0" y="0"/>
                        <a:ext cx="364513" cy="303761"/>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42.52pt;mso-position-horizontal:absolute;mso-position-vertical-relative:text;margin-top:-6.20pt;mso-position-vertical:absolute;width:28.70pt;height:23.92pt;mso-wrap-distance-left:9.00pt;mso-wrap-distance-top:0.00pt;mso-wrap-distance-right:9.00pt;mso-wrap-distance-bottom:0.00pt;z-index:1;">
              <v:imagedata r:id="rId4" o:title="" croptop="0f" cropleft="0f" cropbottom="0f" cropright="0f"/>
              <o:lock v:ext="edit" rotation="t"/>
            </v:shape>
          </w:pict>
        </mc:Fallback>
      </mc:AlternateContent>
    </w:r>
  </w:p>
  <w:p w14:paraId="5D7F89BF" w14:textId="77777777" w:rsidR="007001C9" w:rsidRDefault="00000000">
    <w:pPr>
      <w:pBdr>
        <w:top w:val="none" w:sz="0" w:space="0" w:color="000000"/>
        <w:left w:val="none" w:sz="0" w:space="0" w:color="000000"/>
        <w:bottom w:val="none" w:sz="0" w:space="0" w:color="000000"/>
        <w:right w:val="none" w:sz="0" w:space="0" w:color="000000"/>
        <w:between w:val="none" w:sz="0" w:space="0" w:color="000000"/>
      </w:pBdr>
      <w:tabs>
        <w:tab w:val="center" w:pos="4153"/>
        <w:tab w:val="right" w:pos="9781"/>
      </w:tabs>
      <w:spacing w:after="0"/>
      <w:jc w:val="center"/>
      <w:rPr>
        <w:b/>
        <w:color w:val="000000"/>
      </w:rPr>
    </w:pPr>
    <w:r>
      <w:rPr>
        <w:b/>
        <w:color w:val="000000"/>
      </w:rPr>
      <w:tab/>
    </w:r>
    <w:r>
      <w:rPr>
        <w:b/>
        <w:color w:val="000000"/>
      </w:rPr>
      <w:tab/>
      <w:t>Communiqué de presse</w:t>
    </w:r>
  </w:p>
  <w:p w14:paraId="00D446C6" w14:textId="77777777" w:rsidR="007001C9" w:rsidRDefault="007001C9">
    <w:pPr>
      <w:pBdr>
        <w:top w:val="none" w:sz="0" w:space="0" w:color="000000"/>
        <w:left w:val="none" w:sz="0" w:space="0" w:color="000000"/>
        <w:bottom w:val="none" w:sz="0" w:space="0" w:color="000000"/>
        <w:right w:val="none" w:sz="0" w:space="0" w:color="000000"/>
        <w:between w:val="none" w:sz="0" w:space="0" w:color="000000"/>
      </w:pBdr>
      <w:tabs>
        <w:tab w:val="center" w:pos="4153"/>
        <w:tab w:val="right" w:pos="9781"/>
      </w:tabs>
      <w:spacing w:after="0"/>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C9"/>
    <w:rsid w:val="00567DFC"/>
    <w:rsid w:val="007001C9"/>
    <w:rsid w:val="007E76F0"/>
    <w:rsid w:val="00C0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2DF1"/>
  <w15:docId w15:val="{F0B1F931-8516-422C-BAB4-363AA551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r-FR" w:eastAsia="zh-CN"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120" w:after="240"/>
      <w:outlineLvl w:val="0"/>
    </w:pPr>
    <w:rPr>
      <w:b/>
      <w:color w:val="3F9AB8"/>
      <w:sz w:val="36"/>
      <w:szCs w:val="36"/>
    </w:rPr>
  </w:style>
  <w:style w:type="paragraph" w:styleId="Titre2">
    <w:name w:val="heading 2"/>
    <w:basedOn w:val="Normal"/>
    <w:next w:val="Normal"/>
    <w:link w:val="Titre2Car"/>
    <w:uiPriority w:val="9"/>
    <w:semiHidden/>
    <w:unhideWhenUsed/>
    <w:qFormat/>
    <w:pPr>
      <w:keepNext/>
      <w:keepLines/>
      <w:spacing w:before="240" w:after="240" w:line="259" w:lineRule="auto"/>
      <w:ind w:left="709"/>
      <w:outlineLvl w:val="1"/>
    </w:pPr>
    <w:rPr>
      <w:b/>
      <w:color w:val="86BF5A"/>
      <w:sz w:val="28"/>
      <w:szCs w:val="28"/>
    </w:rPr>
  </w:style>
  <w:style w:type="paragraph" w:styleId="Titre3">
    <w:name w:val="heading 3"/>
    <w:basedOn w:val="Normal"/>
    <w:next w:val="Normal"/>
    <w:link w:val="Titre3Car"/>
    <w:uiPriority w:val="9"/>
    <w:semiHidden/>
    <w:unhideWhenUsed/>
    <w:qFormat/>
    <w:pPr>
      <w:keepNext/>
      <w:keepLines/>
      <w:spacing w:before="240" w:after="240"/>
      <w:outlineLvl w:val="2"/>
    </w:pPr>
    <w:rPr>
      <w:b/>
      <w:sz w:val="28"/>
      <w:szCs w:val="28"/>
    </w:rPr>
  </w:style>
  <w:style w:type="paragraph" w:styleId="Titre4">
    <w:name w:val="heading 4"/>
    <w:basedOn w:val="Normal"/>
    <w:next w:val="Normal"/>
    <w:link w:val="Titre4Car"/>
    <w:uiPriority w:val="9"/>
    <w:semiHidden/>
    <w:unhideWhenUsed/>
    <w:qFormat/>
    <w:pPr>
      <w:keepNext/>
      <w:keepLines/>
      <w:spacing w:before="200"/>
      <w:ind w:left="170"/>
      <w:outlineLvl w:val="3"/>
    </w:pPr>
    <w:rPr>
      <w:rFonts w:ascii="Trebuchet MS" w:eastAsia="Trebuchet MS" w:hAnsi="Trebuchet MS" w:cs="Trebuchet MS"/>
      <w:b/>
      <w:color w:val="595959"/>
      <w:sz w:val="24"/>
      <w:szCs w:val="24"/>
    </w:rPr>
  </w:style>
  <w:style w:type="paragraph" w:styleId="Titre5">
    <w:name w:val="heading 5"/>
    <w:basedOn w:val="Normal"/>
    <w:next w:val="Normal"/>
    <w:link w:val="Titre5Car"/>
    <w:uiPriority w:val="9"/>
    <w:semiHidden/>
    <w:unhideWhenUsed/>
    <w:qFormat/>
    <w:pPr>
      <w:ind w:left="170"/>
      <w:jc w:val="center"/>
      <w:outlineLvl w:val="4"/>
    </w:pPr>
    <w:rPr>
      <w:rFonts w:ascii="Trebuchet MS" w:eastAsia="Trebuchet MS" w:hAnsi="Trebuchet MS" w:cs="Trebuchet MS"/>
      <w:color w:val="595959"/>
      <w:sz w:val="24"/>
      <w:szCs w:val="24"/>
    </w:rPr>
  </w:style>
  <w:style w:type="paragraph" w:styleId="Titre6">
    <w:name w:val="heading 6"/>
    <w:basedOn w:val="Normal"/>
    <w:next w:val="Normal"/>
    <w:link w:val="Titre6Car"/>
    <w:uiPriority w:val="9"/>
    <w:semiHidden/>
    <w:unhideWhenUsed/>
    <w:qFormat/>
    <w:pPr>
      <w:keepNext/>
      <w:keepLines/>
      <w:spacing w:before="200" w:after="40" w:line="259" w:lineRule="auto"/>
      <w:jc w:val="left"/>
      <w:outlineLvl w:val="5"/>
    </w:pPr>
    <w:rPr>
      <w:b/>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FFFFFF" w:themeColor="text1" w:themeTint="00"/>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FFFFFF" w:themeColor="text1" w:themeTint="00"/>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FFFFFF" w:themeColor="text1" w:themeTint="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spacing w:before="300" w:after="300"/>
      <w:jc w:val="center"/>
    </w:pPr>
    <w:rPr>
      <w:rFonts w:ascii="Trebuchet MS" w:eastAsia="Trebuchet MS" w:hAnsi="Trebuchet MS" w:cs="Trebuchet MS"/>
      <w:color w:val="0080A0"/>
      <w:sz w:val="56"/>
      <w:szCs w:val="56"/>
    </w:rPr>
  </w:style>
  <w:style w:type="table" w:styleId="Grilledutableau">
    <w:name w:val="Table Grid"/>
    <w:basedOn w:val="TableauNormal"/>
    <w:uiPriority w:val="5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styleId="Tableausimple1">
    <w:name w:val="Plain Table 1"/>
    <w:basedOn w:val="TableauNormal"/>
    <w:uiPriority w:val="59"/>
    <w:pPr>
      <w:spacing w:after="0"/>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styleId="Tableausimple2">
    <w:name w:val="Plain Table 2"/>
    <w:basedOn w:val="TableauNormal"/>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Tableausimple4">
    <w:name w:val="Plain Table 4"/>
    <w:basedOn w:val="TableauNormal"/>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Tableausimple5">
    <w:name w:val="Plain Table 5"/>
    <w:basedOn w:val="TableauNormal"/>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styleId="TableauGrille1Clair">
    <w:name w:val="Grid Table 1 Light"/>
    <w:basedOn w:val="TableauNormal"/>
    <w:uiPriority w:val="99"/>
    <w:pPr>
      <w:spacing w:after="0"/>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TableauNormal"/>
    <w:uiPriority w:val="99"/>
    <w:pPr>
      <w:spacing w:after="0"/>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TableauNormal"/>
    <w:uiPriority w:val="99"/>
    <w:pPr>
      <w:spacing w:after="0"/>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TableauNormal"/>
    <w:uiPriority w:val="99"/>
    <w:pPr>
      <w:spacing w:after="0"/>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TableauNormal"/>
    <w:uiPriority w:val="99"/>
    <w:pPr>
      <w:spacing w:after="0"/>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TableauNormal"/>
    <w:uiPriority w:val="99"/>
    <w:pPr>
      <w:spacing w:after="0"/>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TableauNormal"/>
    <w:uiPriority w:val="99"/>
    <w:pPr>
      <w:spacing w:after="0"/>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styleId="TableauGrille2">
    <w:name w:val="Grid Table 2"/>
    <w:basedOn w:val="TableauNormal"/>
    <w:uiPriority w:val="99"/>
    <w:pPr>
      <w:spacing w:after="0"/>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TableauNormal"/>
    <w:uiPriority w:val="99"/>
    <w:pPr>
      <w:spacing w:after="0"/>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TableauNormal"/>
    <w:uiPriority w:val="99"/>
    <w:pPr>
      <w:spacing w:after="0"/>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TableauNormal"/>
    <w:uiPriority w:val="99"/>
    <w:pPr>
      <w:spacing w:after="0"/>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TableauNormal"/>
    <w:uiPriority w:val="99"/>
    <w:pPr>
      <w:spacing w:after="0"/>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Tableau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Tableau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TableauGrille3">
    <w:name w:val="Grid Table 3"/>
    <w:basedOn w:val="TableauNormal"/>
    <w:uiPriority w:val="99"/>
    <w:pPr>
      <w:spacing w:after="0"/>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TableauNormal"/>
    <w:uiPriority w:val="99"/>
    <w:pPr>
      <w:spacing w:after="0"/>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TableauNormal"/>
    <w:uiPriority w:val="99"/>
    <w:pPr>
      <w:spacing w:after="0"/>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TableauNormal"/>
    <w:uiPriority w:val="99"/>
    <w:pPr>
      <w:spacing w:after="0"/>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TableauNormal"/>
    <w:uiPriority w:val="99"/>
    <w:pPr>
      <w:spacing w:after="0"/>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TableauNormal"/>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TableauNormal"/>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TableauGrille4">
    <w:name w:val="Grid Table 4"/>
    <w:basedOn w:val="TableauNormal"/>
    <w:uiPriority w:val="59"/>
    <w:pPr>
      <w:spacing w:after="0"/>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TableauNormal"/>
    <w:uiPriority w:val="59"/>
    <w:pPr>
      <w:spacing w:after="0"/>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TableauNormal"/>
    <w:uiPriority w:val="59"/>
    <w:pPr>
      <w:spacing w:after="0"/>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TableauNormal"/>
    <w:uiPriority w:val="59"/>
    <w:pPr>
      <w:spacing w:after="0"/>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TableauNormal"/>
    <w:uiPriority w:val="59"/>
    <w:pPr>
      <w:spacing w:after="0"/>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TableauNormal"/>
    <w:uiPriority w:val="59"/>
    <w:pPr>
      <w:spacing w:after="0"/>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TableauNormal"/>
    <w:uiPriority w:val="59"/>
    <w:pPr>
      <w:spacing w:after="0"/>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TableauGrille5Fonc">
    <w:name w:val="Grid Table 5 Dark"/>
    <w:basedOn w:val="Tableau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Tableau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Tableau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Tableau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Tableau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Tableau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TableauNormal"/>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styleId="TableauGrille6Couleur">
    <w:name w:val="Grid Table 6 Colorful"/>
    <w:basedOn w:val="TableauNormal"/>
    <w:uiPriority w:val="99"/>
    <w:pPr>
      <w:spacing w:after="0"/>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TableauNormal"/>
    <w:uiPriority w:val="99"/>
    <w:pPr>
      <w:spacing w:after="0"/>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TableauNormal"/>
    <w:uiPriority w:val="99"/>
    <w:pPr>
      <w:spacing w:after="0"/>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TableauNormal"/>
    <w:uiPriority w:val="99"/>
    <w:pPr>
      <w:spacing w:after="0"/>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TableauNormal"/>
    <w:uiPriority w:val="99"/>
    <w:pPr>
      <w:spacing w:after="0"/>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TableauNormal"/>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000000" w:themeColor="accent5" w:themeShade="00"/>
      </w:rPr>
      <w:tblPr/>
      <w:tcPr>
        <w:tcBorders>
          <w:bottom w:val="single" w:sz="12" w:space="0" w:color="4BACC6"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TableauNormal"/>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000000" w:themeColor="accent5" w:themeShade="00"/>
      </w:rPr>
      <w:tblPr/>
      <w:tcPr>
        <w:tcBorders>
          <w:bottom w:val="single" w:sz="12" w:space="0" w:color="F79646"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styleId="TableauGrille7Couleur">
    <w:name w:val="Grid Table 7 Colorful"/>
    <w:basedOn w:val="TableauNormal"/>
    <w:uiPriority w:val="99"/>
    <w:pPr>
      <w:spacing w:after="0"/>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0" w:space="0" w:color="000000"/>
          <w:left w:val="none" w:sz="0" w:space="0" w:color="000000"/>
          <w:bottom w:val="single" w:sz="4" w:space="0" w:color="FFFFFF" w:themeColor="text1" w:themeTint="00"/>
          <w:right w:val="none" w:sz="0"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0" w:space="0" w:color="000000"/>
          <w:left w:val="none" w:sz="0" w:space="0" w:color="000000"/>
          <w:bottom w:val="none" w:sz="0"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0" w:space="0" w:color="000000"/>
          <w:left w:val="single" w:sz="4" w:space="0" w:color="FFFFFF" w:themeColor="text1" w:themeTint="0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TableauNormal"/>
    <w:uiPriority w:val="99"/>
    <w:pPr>
      <w:spacing w:after="0"/>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0" w:space="0" w:color="000000"/>
          <w:left w:val="none" w:sz="0" w:space="0" w:color="000000"/>
          <w:bottom w:val="single" w:sz="4" w:space="0" w:color="FFFFFF" w:themeColor="accent1" w:themeTint="00"/>
          <w:right w:val="none" w:sz="0"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0" w:space="0" w:color="000000"/>
          <w:left w:val="none" w:sz="0" w:space="0" w:color="000000"/>
          <w:bottom w:val="none" w:sz="0"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0" w:space="0" w:color="000000"/>
          <w:left w:val="single" w:sz="4" w:space="0" w:color="FFFFFF" w:themeColor="accent1" w:themeTint="00"/>
          <w:bottom w:val="none" w:sz="0" w:space="0" w:color="000000"/>
          <w:right w:val="none" w:sz="0"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TableauNormal"/>
    <w:uiPriority w:val="99"/>
    <w:pPr>
      <w:spacing w:after="0"/>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0" w:space="0" w:color="000000"/>
          <w:left w:val="none" w:sz="0" w:space="0" w:color="000000"/>
          <w:bottom w:val="single" w:sz="4" w:space="0" w:color="FFFFFF" w:themeColor="accent2" w:themeTint="00"/>
          <w:right w:val="none" w:sz="0"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0" w:space="0" w:color="000000"/>
          <w:left w:val="none" w:sz="0" w:space="0" w:color="000000"/>
          <w:bottom w:val="none" w:sz="0"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0" w:space="0" w:color="000000"/>
          <w:left w:val="single" w:sz="4" w:space="0" w:color="FFFFFF" w:themeColor="accent2" w:themeTint="00"/>
          <w:bottom w:val="none" w:sz="0" w:space="0" w:color="000000"/>
          <w:right w:val="none" w:sz="0"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TableauNormal"/>
    <w:uiPriority w:val="99"/>
    <w:pPr>
      <w:spacing w:after="0"/>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0" w:space="0" w:color="000000"/>
          <w:left w:val="none" w:sz="0" w:space="0" w:color="000000"/>
          <w:bottom w:val="single" w:sz="4" w:space="0" w:color="FFFFFF" w:themeColor="accent3" w:themeTint="00"/>
          <w:right w:val="none" w:sz="0"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0" w:space="0" w:color="000000"/>
          <w:left w:val="none" w:sz="0" w:space="0" w:color="000000"/>
          <w:bottom w:val="none" w:sz="0"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0" w:space="0" w:color="000000"/>
          <w:left w:val="single" w:sz="4" w:space="0" w:color="FFFFFF" w:themeColor="accent3" w:themeTint="00"/>
          <w:bottom w:val="none" w:sz="0" w:space="0" w:color="000000"/>
          <w:right w:val="none" w:sz="0"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TableauNormal"/>
    <w:uiPriority w:val="99"/>
    <w:pPr>
      <w:spacing w:after="0"/>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0" w:space="0" w:color="000000"/>
          <w:left w:val="none" w:sz="0" w:space="0" w:color="000000"/>
          <w:bottom w:val="single" w:sz="4" w:space="0" w:color="FFFFFF" w:themeColor="accent4" w:themeTint="00"/>
          <w:right w:val="none" w:sz="0"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0" w:space="0" w:color="000000"/>
          <w:left w:val="none" w:sz="0" w:space="0" w:color="000000"/>
          <w:bottom w:val="none" w:sz="0"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0" w:space="0" w:color="000000"/>
          <w:left w:val="single" w:sz="4" w:space="0" w:color="FFFFFF" w:themeColor="accent4" w:themeTint="00"/>
          <w:bottom w:val="none" w:sz="0" w:space="0" w:color="000000"/>
          <w:right w:val="none" w:sz="0"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TableauNormal"/>
    <w:uiPriority w:val="99"/>
    <w:pPr>
      <w:spacing w:after="0"/>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0" w:space="0" w:color="000000"/>
          <w:left w:val="none" w:sz="0" w:space="0" w:color="000000"/>
          <w:bottom w:val="single" w:sz="4" w:space="0" w:color="FFFFFF" w:themeColor="accent5" w:themeTint="00"/>
          <w:right w:val="none" w:sz="0"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0" w:space="0" w:color="000000"/>
          <w:left w:val="none" w:sz="0" w:space="0" w:color="000000"/>
          <w:bottom w:val="none" w:sz="0"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0" w:space="0" w:color="000000"/>
          <w:left w:val="single" w:sz="4" w:space="0" w:color="FFFFFF" w:themeColor="accent5" w:themeTint="00"/>
          <w:bottom w:val="none" w:sz="0" w:space="0" w:color="000000"/>
          <w:right w:val="none" w:sz="0"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TableauNormal"/>
    <w:uiPriority w:val="99"/>
    <w:pPr>
      <w:spacing w:after="0"/>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0" w:space="0" w:color="000000"/>
          <w:left w:val="none" w:sz="0" w:space="0" w:color="000000"/>
          <w:bottom w:val="single" w:sz="4" w:space="0" w:color="FFFFFF" w:themeColor="accent6" w:themeTint="00"/>
          <w:right w:val="none" w:sz="0"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0" w:space="0" w:color="000000"/>
          <w:left w:val="none" w:sz="0" w:space="0" w:color="000000"/>
          <w:bottom w:val="none" w:sz="0"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0" w:space="0" w:color="000000"/>
          <w:left w:val="single" w:sz="4" w:space="0" w:color="FFFFFF" w:themeColor="accent6" w:themeTint="00"/>
          <w:bottom w:val="none" w:sz="0" w:space="0" w:color="000000"/>
          <w:right w:val="none" w:sz="0"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styleId="TableauListe1Clair">
    <w:name w:val="List Table 1 Light"/>
    <w:basedOn w:val="Tableau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Tableau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Tableau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Tableau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Tableau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Tableau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TableauNormal"/>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styleId="TableauListe2">
    <w:name w:val="List Table 2"/>
    <w:basedOn w:val="TableauNormal"/>
    <w:uiPriority w:val="99"/>
    <w:pPr>
      <w:spacing w:after="0"/>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TableauNormal"/>
    <w:uiPriority w:val="99"/>
    <w:pPr>
      <w:spacing w:after="0"/>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TableauNormal"/>
    <w:uiPriority w:val="99"/>
    <w:pPr>
      <w:spacing w:after="0"/>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TableauNormal"/>
    <w:uiPriority w:val="99"/>
    <w:pPr>
      <w:spacing w:after="0"/>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TableauNormal"/>
    <w:uiPriority w:val="99"/>
    <w:pPr>
      <w:spacing w:after="0"/>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TableauNormal"/>
    <w:uiPriority w:val="99"/>
    <w:pPr>
      <w:spacing w:after="0"/>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TableauNormal"/>
    <w:uiPriority w:val="99"/>
    <w:pPr>
      <w:spacing w:after="0"/>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TableauListe3">
    <w:name w:val="List Table 3"/>
    <w:basedOn w:val="Tableau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TableauNormal"/>
    <w:uiPriority w:val="99"/>
    <w:pPr>
      <w:spacing w:after="0"/>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TableauNormal"/>
    <w:uiPriority w:val="99"/>
    <w:pPr>
      <w:spacing w:after="0"/>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TableauNormal"/>
    <w:uiPriority w:val="99"/>
    <w:pPr>
      <w:spacing w:after="0"/>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TableauNormal"/>
    <w:uiPriority w:val="99"/>
    <w:pPr>
      <w:spacing w:after="0"/>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styleId="TableauListe4">
    <w:name w:val="List Table 4"/>
    <w:basedOn w:val="TableauNormal"/>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TableauNormal"/>
    <w:uiPriority w:val="99"/>
    <w:pPr>
      <w:spacing w:after="0"/>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TableauNormal"/>
    <w:uiPriority w:val="99"/>
    <w:pPr>
      <w:spacing w:after="0"/>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TableauNormal"/>
    <w:uiPriority w:val="99"/>
    <w:pPr>
      <w:spacing w:after="0"/>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TableauNormal"/>
    <w:uiPriority w:val="99"/>
    <w:pPr>
      <w:spacing w:after="0"/>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TableauNormal"/>
    <w:uiPriority w:val="99"/>
    <w:pPr>
      <w:spacing w:after="0"/>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TableauNormal"/>
    <w:uiPriority w:val="99"/>
    <w:pPr>
      <w:spacing w:after="0"/>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styleId="TableauListe5Fonc">
    <w:name w:val="List Table 5 Dark"/>
    <w:basedOn w:val="TableauNormal"/>
    <w:uiPriority w:val="99"/>
    <w:pPr>
      <w:spacing w:after="0"/>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TableauNormal"/>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TableauNormal"/>
    <w:uiPriority w:val="99"/>
    <w:pPr>
      <w:spacing w:after="0"/>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TableauNormal"/>
    <w:uiPriority w:val="99"/>
    <w:pPr>
      <w:spacing w:after="0"/>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TableauNormal"/>
    <w:uiPriority w:val="99"/>
    <w:pPr>
      <w:spacing w:after="0"/>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TableauNormal"/>
    <w:uiPriority w:val="99"/>
    <w:pPr>
      <w:spacing w:after="0"/>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styleId="TableauListe6Couleur">
    <w:name w:val="List Table 6 Colorful"/>
    <w:basedOn w:val="TableauNormal"/>
    <w:uiPriority w:val="99"/>
    <w:pPr>
      <w:spacing w:after="0"/>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000000" w:themeColor="accent1" w:themeShade="00"/>
      </w:rPr>
      <w:tblPr/>
      <w:tcPr>
        <w:tcBorders>
          <w:bottom w:val="single" w:sz="4" w:space="0" w:color="4F81BD" w:themeColor="accent1"/>
        </w:tcBorders>
      </w:tcPr>
    </w:tblStylePr>
    <w:tblStylePr w:type="lastRow">
      <w:rPr>
        <w:b/>
        <w:color w:val="000000" w:themeColor="accent1" w:themeShade="00"/>
      </w:rPr>
      <w:tblPr/>
      <w:tcPr>
        <w:tcBorders>
          <w:top w:val="single" w:sz="4" w:space="0" w:color="4F81BD"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TableauNormal"/>
    <w:uiPriority w:val="99"/>
    <w:pPr>
      <w:spacing w:after="0"/>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TableauNormal"/>
    <w:uiPriority w:val="99"/>
    <w:pPr>
      <w:spacing w:after="0"/>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TableauNormal"/>
    <w:uiPriority w:val="99"/>
    <w:pPr>
      <w:spacing w:after="0"/>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TableauNormal"/>
    <w:uiPriority w:val="99"/>
    <w:pPr>
      <w:spacing w:after="0"/>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TableauNormal"/>
    <w:uiPriority w:val="99"/>
    <w:pPr>
      <w:spacing w:after="0"/>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styleId="TableauListe7Couleur">
    <w:name w:val="List Table 7 Colorful"/>
    <w:basedOn w:val="TableauNormal"/>
    <w:uiPriority w:val="99"/>
    <w:pPr>
      <w:spacing w:after="0"/>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0" w:space="0" w:color="000000"/>
          <w:left w:val="none" w:sz="0" w:space="0" w:color="000000"/>
          <w:bottom w:val="single" w:sz="4" w:space="0" w:color="FFFFFF" w:themeColor="text1" w:themeTint="00"/>
          <w:right w:val="none" w:sz="0"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0" w:space="0" w:color="000000"/>
          <w:left w:val="none" w:sz="0" w:space="0" w:color="000000"/>
          <w:bottom w:val="none" w:sz="0"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0" w:space="0" w:color="000000"/>
          <w:left w:val="single" w:sz="4" w:space="0" w:color="FFFFFF" w:themeColor="text1" w:themeTint="0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TableauNormal"/>
    <w:uiPriority w:val="99"/>
    <w:pPr>
      <w:spacing w:after="0"/>
    </w:pPr>
    <w:tblPr>
      <w:tblStyleRowBandSize w:val="1"/>
      <w:tblStyleColBandSize w:val="1"/>
      <w:tblBorders>
        <w:right w:val="single" w:sz="4" w:space="0" w:color="4F81BD" w:themeColor="accent1"/>
      </w:tblBorders>
    </w:tblPr>
    <w:tblStylePr w:type="firstRow">
      <w:rPr>
        <w:rFonts w:ascii="Arial" w:hAnsi="Arial"/>
        <w:i/>
        <w:color w:val="000000" w:themeColor="accent1" w:themeShade="00"/>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000000" w:themeColor="accent1" w:themeShade="00"/>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TableauNormal"/>
    <w:uiPriority w:val="99"/>
    <w:pPr>
      <w:spacing w:after="0"/>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0" w:space="0" w:color="000000"/>
          <w:left w:val="none" w:sz="0" w:space="0" w:color="000000"/>
          <w:bottom w:val="single" w:sz="4" w:space="0" w:color="FFFFFF" w:themeColor="accent2" w:themeTint="00"/>
          <w:right w:val="none" w:sz="0"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0" w:space="0" w:color="000000"/>
          <w:left w:val="none" w:sz="0" w:space="0" w:color="000000"/>
          <w:bottom w:val="none" w:sz="0"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0" w:space="0" w:color="000000"/>
          <w:left w:val="single" w:sz="4" w:space="0" w:color="FFFFFF" w:themeColor="accent2" w:themeTint="00"/>
          <w:bottom w:val="none" w:sz="0" w:space="0" w:color="000000"/>
          <w:right w:val="none" w:sz="0"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TableauNormal"/>
    <w:uiPriority w:val="99"/>
    <w:pPr>
      <w:spacing w:after="0"/>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0" w:space="0" w:color="000000"/>
          <w:left w:val="none" w:sz="0" w:space="0" w:color="000000"/>
          <w:bottom w:val="single" w:sz="4" w:space="0" w:color="FFFFFF" w:themeColor="accent3" w:themeTint="00"/>
          <w:right w:val="none" w:sz="0"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0" w:space="0" w:color="000000"/>
          <w:left w:val="none" w:sz="0" w:space="0" w:color="000000"/>
          <w:bottom w:val="none" w:sz="0"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0" w:space="0" w:color="000000"/>
          <w:left w:val="single" w:sz="4" w:space="0" w:color="FFFFFF" w:themeColor="accent3" w:themeTint="00"/>
          <w:bottom w:val="none" w:sz="0" w:space="0" w:color="000000"/>
          <w:right w:val="none" w:sz="0"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TableauNormal"/>
    <w:uiPriority w:val="99"/>
    <w:pPr>
      <w:spacing w:after="0"/>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0" w:space="0" w:color="000000"/>
          <w:left w:val="none" w:sz="0" w:space="0" w:color="000000"/>
          <w:bottom w:val="single" w:sz="4" w:space="0" w:color="FFFFFF" w:themeColor="accent4" w:themeTint="00"/>
          <w:right w:val="none" w:sz="0"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0" w:space="0" w:color="000000"/>
          <w:left w:val="none" w:sz="0" w:space="0" w:color="000000"/>
          <w:bottom w:val="none" w:sz="0"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0" w:space="0" w:color="000000"/>
          <w:left w:val="single" w:sz="4" w:space="0" w:color="FFFFFF" w:themeColor="accent4" w:themeTint="00"/>
          <w:bottom w:val="none" w:sz="0" w:space="0" w:color="000000"/>
          <w:right w:val="none" w:sz="0"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TableauNormal"/>
    <w:uiPriority w:val="99"/>
    <w:pPr>
      <w:spacing w:after="0"/>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0" w:space="0" w:color="000000"/>
          <w:left w:val="none" w:sz="0" w:space="0" w:color="000000"/>
          <w:bottom w:val="single" w:sz="4" w:space="0" w:color="FFFFFF" w:themeColor="accent5" w:themeTint="00"/>
          <w:right w:val="none" w:sz="0"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0" w:space="0" w:color="000000"/>
          <w:left w:val="none" w:sz="0" w:space="0" w:color="000000"/>
          <w:bottom w:val="none" w:sz="0"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0" w:space="0" w:color="000000"/>
          <w:left w:val="single" w:sz="4" w:space="0" w:color="FFFFFF" w:themeColor="accent5" w:themeTint="00"/>
          <w:bottom w:val="none" w:sz="0" w:space="0" w:color="000000"/>
          <w:right w:val="none" w:sz="0"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TableauNormal"/>
    <w:uiPriority w:val="99"/>
    <w:pPr>
      <w:spacing w:after="0"/>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0" w:space="0" w:color="000000"/>
          <w:left w:val="none" w:sz="0" w:space="0" w:color="000000"/>
          <w:bottom w:val="single" w:sz="4" w:space="0" w:color="FFFFFF" w:themeColor="accent6" w:themeTint="00"/>
          <w:right w:val="none" w:sz="0"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0" w:space="0" w:color="000000"/>
          <w:left w:val="none" w:sz="0" w:space="0" w:color="000000"/>
          <w:bottom w:val="none" w:sz="0"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0" w:space="0" w:color="000000"/>
          <w:left w:val="single" w:sz="4" w:space="0" w:color="FFFFFF" w:themeColor="accent6" w:themeTint="00"/>
          <w:bottom w:val="none" w:sz="0" w:space="0" w:color="000000"/>
          <w:right w:val="none" w:sz="0"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TableauNormal"/>
    <w:uiPriority w:val="99"/>
    <w:pPr>
      <w:spacing w:after="0"/>
    </w:pPr>
    <w:rPr>
      <w:color w:val="404040"/>
      <w:lang w:eastAsia="fr-FR"/>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leauNormal"/>
    <w:uiPriority w:val="99"/>
    <w:pPr>
      <w:spacing w:after="0"/>
    </w:pPr>
    <w:rPr>
      <w:color w:val="404040"/>
      <w:lang w:eastAsia="fr-FR"/>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TableauNormal"/>
    <w:uiPriority w:val="99"/>
    <w:pPr>
      <w:spacing w:after="0"/>
    </w:pPr>
    <w:rPr>
      <w:color w:val="404040"/>
      <w:lang w:eastAsia="fr-FR"/>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TableauNormal"/>
    <w:uiPriority w:val="99"/>
    <w:pPr>
      <w:spacing w:after="0"/>
    </w:pPr>
    <w:rPr>
      <w:color w:val="404040"/>
      <w:lang w:eastAsia="fr-FR"/>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TableauNormal"/>
    <w:uiPriority w:val="99"/>
    <w:pPr>
      <w:spacing w:after="0"/>
    </w:pPr>
    <w:rPr>
      <w:color w:val="404040"/>
      <w:lang w:eastAsia="fr-FR"/>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TableauNormal"/>
    <w:uiPriority w:val="99"/>
    <w:pPr>
      <w:spacing w:after="0"/>
    </w:pPr>
    <w:rPr>
      <w:color w:val="40404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TableauNormal"/>
    <w:uiPriority w:val="99"/>
    <w:pPr>
      <w:spacing w:after="0"/>
    </w:pPr>
    <w:rPr>
      <w:color w:val="40404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TableauNormal"/>
    <w:uiPriority w:val="99"/>
    <w:pPr>
      <w:spacing w:after="0"/>
    </w:pPr>
    <w:rPr>
      <w:color w:val="404040"/>
      <w:lang w:eastAsia="fr-FR"/>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leauNormal"/>
    <w:uiPriority w:val="99"/>
    <w:pPr>
      <w:spacing w:after="0"/>
    </w:pPr>
    <w:rPr>
      <w:color w:val="404040"/>
      <w:lang w:eastAsia="fr-FR"/>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TableauNormal"/>
    <w:uiPriority w:val="99"/>
    <w:pPr>
      <w:spacing w:after="0"/>
    </w:pPr>
    <w:rPr>
      <w:color w:val="404040"/>
      <w:lang w:eastAsia="fr-FR"/>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TableauNormal"/>
    <w:uiPriority w:val="99"/>
    <w:pPr>
      <w:spacing w:after="0"/>
    </w:pPr>
    <w:rPr>
      <w:color w:val="404040"/>
      <w:lang w:eastAsia="fr-FR"/>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TableauNormal"/>
    <w:uiPriority w:val="99"/>
    <w:pPr>
      <w:spacing w:after="0"/>
    </w:pPr>
    <w:rPr>
      <w:color w:val="404040"/>
      <w:lang w:eastAsia="fr-FR"/>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TableauNormal"/>
    <w:uiPriority w:val="99"/>
    <w:pPr>
      <w:spacing w:after="0"/>
    </w:pPr>
    <w:rPr>
      <w:color w:val="404040"/>
      <w:lang w:eastAsia="fr-FR"/>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TableauNormal"/>
    <w:uiPriority w:val="99"/>
    <w:pPr>
      <w:spacing w:after="0"/>
    </w:pPr>
    <w:rPr>
      <w:color w:val="404040"/>
      <w:lang w:eastAsia="fr-FR"/>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TableauNormal"/>
    <w:uiPriority w:val="99"/>
    <w:pPr>
      <w:spacing w:after="0"/>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TableauNormal"/>
    <w:uiPriority w:val="99"/>
    <w:pPr>
      <w:spacing w:after="0"/>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TableauNormal"/>
    <w:uiPriority w:val="99"/>
    <w:pPr>
      <w:spacing w:after="0"/>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TableauNormal"/>
    <w:uiPriority w:val="99"/>
    <w:pPr>
      <w:spacing w:after="0"/>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TableauNormal"/>
    <w:uiPriority w:val="99"/>
    <w:pPr>
      <w:spacing w:after="0"/>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TableauNormal"/>
    <w:uiPriority w:val="99"/>
    <w:pPr>
      <w:spacing w:after="0"/>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TableauNormal"/>
    <w:uiPriority w:val="99"/>
    <w:pPr>
      <w:spacing w:after="0"/>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customStyle="1" w:styleId="Titre1Car">
    <w:name w:val="Titre 1 Car"/>
    <w:basedOn w:val="Policepardfaut"/>
    <w:link w:val="Titre1"/>
    <w:uiPriority w:val="9"/>
    <w:rPr>
      <w:rFonts w:ascii="Arial" w:eastAsia="Arial" w:hAnsi="Arial" w:cs="Arial"/>
      <w:color w:val="000000" w:themeColor="accent1" w:themeShade="00"/>
      <w:sz w:val="40"/>
      <w:szCs w:val="40"/>
    </w:rPr>
  </w:style>
  <w:style w:type="character" w:customStyle="1" w:styleId="Titre2Car">
    <w:name w:val="Titre 2 Car"/>
    <w:basedOn w:val="Policepardfaut"/>
    <w:link w:val="Titre2"/>
    <w:uiPriority w:val="9"/>
    <w:rPr>
      <w:rFonts w:ascii="Arial" w:eastAsia="Arial" w:hAnsi="Arial" w:cs="Arial"/>
      <w:color w:val="000000" w:themeColor="accent1" w:themeShade="00"/>
      <w:sz w:val="32"/>
      <w:szCs w:val="32"/>
    </w:rPr>
  </w:style>
  <w:style w:type="character" w:customStyle="1" w:styleId="Titre3Car">
    <w:name w:val="Titre 3 Car"/>
    <w:basedOn w:val="Policepardfaut"/>
    <w:link w:val="Titre3"/>
    <w:uiPriority w:val="9"/>
    <w:rPr>
      <w:rFonts w:ascii="Arial" w:eastAsia="Arial" w:hAnsi="Arial" w:cs="Arial"/>
      <w:color w:val="000000" w:themeColor="accent1" w:themeShade="00"/>
      <w:sz w:val="28"/>
      <w:szCs w:val="28"/>
    </w:rPr>
  </w:style>
  <w:style w:type="character" w:customStyle="1" w:styleId="Titre4Car">
    <w:name w:val="Titre 4 Car"/>
    <w:basedOn w:val="Policepardfaut"/>
    <w:link w:val="Titre4"/>
    <w:uiPriority w:val="9"/>
    <w:rPr>
      <w:rFonts w:ascii="Arial" w:eastAsia="Arial" w:hAnsi="Arial" w:cs="Arial"/>
      <w:i/>
      <w:iCs/>
      <w:color w:val="000000" w:themeColor="accent1" w:themeShade="00"/>
    </w:rPr>
  </w:style>
  <w:style w:type="character" w:customStyle="1" w:styleId="Titre5Car">
    <w:name w:val="Titre 5 Car"/>
    <w:basedOn w:val="Policepardfaut"/>
    <w:link w:val="Titre5"/>
    <w:uiPriority w:val="9"/>
    <w:rPr>
      <w:rFonts w:ascii="Arial" w:eastAsia="Arial" w:hAnsi="Arial" w:cs="Arial"/>
      <w:color w:val="000000" w:themeColor="accent1" w:themeShade="00"/>
    </w:rPr>
  </w:style>
  <w:style w:type="character" w:customStyle="1" w:styleId="Titre6Car">
    <w:name w:val="Titre 6 Car"/>
    <w:basedOn w:val="Policepardfaut"/>
    <w:link w:val="Titre6"/>
    <w:uiPriority w:val="9"/>
    <w:rPr>
      <w:rFonts w:ascii="Arial" w:eastAsia="Arial" w:hAnsi="Arial" w:cs="Arial"/>
      <w:i/>
      <w:iCs/>
      <w:color w:val="FFFFFF" w:themeColor="text1" w:themeTint="00"/>
    </w:rPr>
  </w:style>
  <w:style w:type="character" w:customStyle="1" w:styleId="Titre7Car">
    <w:name w:val="Titre 7 Car"/>
    <w:basedOn w:val="Policepardfaut"/>
    <w:link w:val="Titre7"/>
    <w:uiPriority w:val="9"/>
    <w:rPr>
      <w:rFonts w:ascii="Arial" w:eastAsia="Arial" w:hAnsi="Arial" w:cs="Arial"/>
      <w:color w:val="FFFFFF" w:themeColor="text1" w:themeTint="00"/>
    </w:rPr>
  </w:style>
  <w:style w:type="character" w:customStyle="1" w:styleId="Titre8Car">
    <w:name w:val="Titre 8 Car"/>
    <w:basedOn w:val="Policepardfaut"/>
    <w:link w:val="Titre8"/>
    <w:uiPriority w:val="9"/>
    <w:rPr>
      <w:rFonts w:ascii="Arial" w:eastAsia="Arial" w:hAnsi="Arial" w:cs="Arial"/>
      <w:i/>
      <w:iCs/>
      <w:color w:val="FFFFFF" w:themeColor="text1" w:themeTint="00"/>
    </w:rPr>
  </w:style>
  <w:style w:type="character" w:customStyle="1" w:styleId="Titre9Car">
    <w:name w:val="Titre 9 Car"/>
    <w:basedOn w:val="Policepardfaut"/>
    <w:link w:val="Titre9"/>
    <w:uiPriority w:val="9"/>
    <w:rPr>
      <w:rFonts w:ascii="Arial" w:eastAsia="Arial" w:hAnsi="Arial" w:cs="Arial"/>
      <w:i/>
      <w:iCs/>
      <w:color w:val="FFFFFF" w:themeColor="text1" w:themeTint="00"/>
    </w:rPr>
  </w:style>
  <w:style w:type="character" w:customStyle="1" w:styleId="TitreCar">
    <w:name w:val="Titre Car"/>
    <w:basedOn w:val="Policepardfaut"/>
    <w:link w:val="Titre"/>
    <w:uiPriority w:val="10"/>
    <w:rPr>
      <w:rFonts w:ascii="Arial" w:eastAsia="Arial" w:hAnsi="Arial" w:cs="Arial"/>
      <w:spacing w:val="-10"/>
      <w:sz w:val="56"/>
      <w:szCs w:val="56"/>
    </w:rPr>
  </w:style>
  <w:style w:type="character" w:customStyle="1" w:styleId="Sous-titreCar">
    <w:name w:val="Sous-titre Car"/>
    <w:basedOn w:val="Policepardfaut"/>
    <w:link w:val="Sous-titre"/>
    <w:uiPriority w:val="11"/>
    <w:rPr>
      <w:color w:val="FFFFFF" w:themeColor="text1" w:themeTint="00"/>
      <w:spacing w:val="15"/>
      <w:sz w:val="28"/>
      <w:szCs w:val="28"/>
    </w:rPr>
  </w:style>
  <w:style w:type="paragraph" w:styleId="Citation">
    <w:name w:val="Quote"/>
    <w:basedOn w:val="Normal"/>
    <w:next w:val="Normal"/>
    <w:link w:val="CitationCar"/>
    <w:uiPriority w:val="29"/>
    <w:qFormat/>
    <w:pPr>
      <w:spacing w:before="160"/>
      <w:jc w:val="center"/>
    </w:pPr>
    <w:rPr>
      <w:i/>
      <w:iCs/>
      <w:color w:val="FFFFFF" w:themeColor="text1" w:themeTint="00"/>
    </w:rPr>
  </w:style>
  <w:style w:type="character" w:customStyle="1" w:styleId="CitationCar">
    <w:name w:val="Citation Car"/>
    <w:basedOn w:val="Policepardfaut"/>
    <w:link w:val="Citation"/>
    <w:uiPriority w:val="29"/>
    <w:rPr>
      <w:i/>
      <w:iCs/>
      <w:color w:val="FFFFFF" w:themeColor="text1" w:themeTint="00"/>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00000" w:themeColor="accent1" w:themeShade="00"/>
    </w:rPr>
  </w:style>
  <w:style w:type="paragraph" w:styleId="Citationintense">
    <w:name w:val="Intense Quote"/>
    <w:basedOn w:val="Normal"/>
    <w:next w:val="Normal"/>
    <w:link w:val="CitationintenseCar"/>
    <w:uiPriority w:val="30"/>
    <w:qFormat/>
    <w:pPr>
      <w:pBdr>
        <w:top w:val="single" w:sz="4" w:space="10" w:color="000000" w:themeColor="accent1" w:themeShade="00"/>
        <w:bottom w:val="single" w:sz="4" w:space="10" w:color="000000" w:themeColor="accent1" w:themeShade="00"/>
      </w:pBdr>
      <w:spacing w:before="360" w:after="360"/>
      <w:ind w:left="864" w:right="864"/>
      <w:jc w:val="center"/>
    </w:pPr>
    <w:rPr>
      <w:i/>
      <w:iCs/>
      <w:color w:val="000000" w:themeColor="accent1" w:themeShade="00"/>
    </w:rPr>
  </w:style>
  <w:style w:type="character" w:customStyle="1" w:styleId="CitationintenseCar">
    <w:name w:val="Citation intense Car"/>
    <w:basedOn w:val="Policepardfaut"/>
    <w:link w:val="Citationintense"/>
    <w:uiPriority w:val="30"/>
    <w:rPr>
      <w:i/>
      <w:iCs/>
      <w:color w:val="000000" w:themeColor="accent1" w:themeShade="00"/>
    </w:rPr>
  </w:style>
  <w:style w:type="character" w:styleId="Rfrenceintense">
    <w:name w:val="Intense Reference"/>
    <w:basedOn w:val="Policepardfaut"/>
    <w:uiPriority w:val="32"/>
    <w:qFormat/>
    <w:rPr>
      <w:b/>
      <w:bCs/>
      <w:smallCaps/>
      <w:color w:val="000000" w:themeColor="accent1" w:themeShade="00"/>
      <w:spacing w:val="5"/>
    </w:rPr>
  </w:style>
  <w:style w:type="paragraph" w:styleId="Sansinterligne">
    <w:name w:val="No Spacing"/>
    <w:basedOn w:val="Normal"/>
    <w:uiPriority w:val="1"/>
    <w:qFormat/>
    <w:pPr>
      <w:spacing w:after="0"/>
    </w:pPr>
  </w:style>
  <w:style w:type="character" w:styleId="Accentuationlgre">
    <w:name w:val="Subtle Emphasis"/>
    <w:basedOn w:val="Policepardfaut"/>
    <w:uiPriority w:val="19"/>
    <w:qFormat/>
    <w:rPr>
      <w:i/>
      <w:iCs/>
      <w:color w:val="FFFFFF" w:themeColor="text1" w:themeTint="00"/>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FFFFFF" w:themeColor="text1" w:themeTint="00"/>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pPr>
      <w:spacing w:after="0"/>
    </w:p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link w:val="Sous-titreCar"/>
    <w:pPr>
      <w:keepNext/>
      <w:keepLines/>
      <w:pBdr>
        <w:top w:val="none" w:sz="0" w:space="0" w:color="000000"/>
        <w:left w:val="none" w:sz="0" w:space="0" w:color="000000"/>
        <w:bottom w:val="none" w:sz="0" w:space="0" w:color="000000"/>
        <w:right w:val="none" w:sz="0" w:space="0" w:color="000000"/>
        <w:between w:val="none" w:sz="0" w:space="0" w:color="000000"/>
      </w:pBdr>
      <w:spacing w:before="360" w:after="80" w:line="259" w:lineRule="auto"/>
      <w:jc w:val="left"/>
    </w:pPr>
    <w:rPr>
      <w:rFonts w:ascii="Georgia" w:eastAsia="Georgia" w:hAnsi="Georgia" w:cs="Georgia"/>
      <w:i/>
      <w:color w:val="666666"/>
      <w:sz w:val="48"/>
      <w:szCs w:val="48"/>
    </w:r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julie.picard@bl-evoluti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presse@bl-evolut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l-evolution.com/publication/"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bl-evolutio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7DtOqJbpsRU/cD8A/pTiQ+n/gA==">CgMxLjA4AHIhMWk1T3NyemNkLUJyVUp1UFJNUy1GV1Y3ZXNXdHZwTkNO</go:docsCustomData>
</go:gDocsCustomXmlDataStorage>
</file>

<file path=customXml/itemProps1.xml><?xml version="1.0" encoding="utf-8"?>
<ds:datastoreItem xmlns:ds="http://schemas.openxmlformats.org/officeDocument/2006/customXml" ds:itemID="{031CAC7B-6362-445A-9B0C-B5FDAEDCD183}">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6086</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PICARD</dc:creator>
  <cp:lastModifiedBy>Julie PICARD</cp:lastModifiedBy>
  <cp:revision>14</cp:revision>
  <dcterms:created xsi:type="dcterms:W3CDTF">2025-02-26T16:30:00Z</dcterms:created>
  <dcterms:modified xsi:type="dcterms:W3CDTF">2026-04-10T08:57:00Z</dcterms:modified>
</cp:coreProperties>
</file>